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2"/>
          <w:szCs w:val="22"/>
        </w:rPr>
        <w:t xml:space="preserve">УТРАТИЛО СИЛУ
                    приказом Министерства финансов КР
                      от 14.07.2009 г. № 138-пр.</w:t>
      </w:r>
      <w:r>
        <w:rPr>
          <w:rFonts w:ascii="Arial" w:cs="Arial" w:eastAsia="Arial" w:hAnsi="Arial"/>
          <w:sz w:val="24"/>
          <w:szCs w:val="24"/>
        </w:rPr>
        <w:t xml:space="preserve">Зарегистрировано в Министерстве юстиции Кыргызской Республики12 августа 2002 года. Регистрационный номер 121-02                                                    Утверждена                                         </w:t>
      </w:r>
      <w:hyperlink w:history="1" r:id="rIdducdnmkocuy0tkgjeyd6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29 июля 2002 года № 227-п                               ИНСТРУКЦИЯ               по внесению платы за право осуществления             лотерейной деятельности субъектами лотерейной             деятельности - организаторами и учредителями           тотализаторов, лотерей с заранее не установленным                объемом годовой эмиссии и системных игр                           I. Общие положения      1. Настоящая Инструкция разработана в соответствии с п.4 главы 6.1</w:t>
      </w:r>
      <w:hyperlink w:history="1" r:id="rIdb9uux52uo5_pw8qob3wq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республиканских лотерей в Кыргызской Республике,утвержденного </w:t>
      </w:r>
      <w:hyperlink w:history="1" r:id="rIdonubpvoyaxwitywzv5w0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17января  2001  года  №  11 "О вопросах,  связанных с лотерейной деятель-ностью" (в редакции </w:t>
      </w:r>
      <w:hyperlink w:history="1" r:id="rIds_timbjd1yntavxjssoz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3 августа 2001 года № 407) и устанавливает процедуру внесения выше-названной платы для тотализаторов,  лотерей с заранее не  установленнымобъемом годовой эмиссии и системных игр.     2. Плата за право осуществления лотерейной деятельности составляет7% от эмиссии на каждый тираж, из них 5,5% направляются в республиканс-кий бюджет, а 1,5% на затраты регистрирующего органа.     3. Плательщиками  платы за право осуществления лотерейной деятель-ности являются следующие субъекты лотерейной деятельности: организаторы(или  учредители)  тотализаторов,  системных игр и лотерей с заранее неустановленным объемом годовой эмиссии.     4. Копия квитанции об оплате 10%  от суммы платы за право осущест-вления лотерейной деятельности сдается в Совет по проведению  республи-канских лотерей в Кыргызской Республики одновременно с необходимыми прирегистрации документами.     5. Плата  за  право осуществления лотерейной деятельности вноситсяежемесячно,  в республиканский бюджет и на счет регистрирующего  органане  позднее  20  числа месяца следующего за отчетным в течение 1 года смомента регистрации.  При этом,  размер месячной платы определяется каксумма 7% от эмиссий тиражей, проведенных за отчетный месяц.     Процедура внесения платы  для тотализаторов.     5. В  соответствии  с п.2 главы I Положения о проведении республи-канских лотерей в Кыргызской Республике "Тотализатор - игра,  в которойучастник  делает прогноз (заключает пари) на возможный вариант игровой,спортивной или иной социально значимой ситуации, где выигрыш зависит отчастичного  или  полного  совпадения прогноза с наступившими реальными,документально подтвержденными фактами".     6. Для тотализаторов, в которых участник делает прогноз на возмож-ный вариант игровой ситуации путем фиксации ставок, эмиссия определяет-ся следующим образом:     - ставки, произведенные участниками, фиксируются в кассах реализа-ции  путем  проставления  именной печати и подписи кассира на квитанции(бланке заполнения) и возврата  участнику  той  части  бланка,  котораяпредназначена участнику;     - те части бланков заполнения,  которые остаются у кассиров, черезслужбу инкассации поступают в отдел информации и обработки и служат ос-новой для составления сводной ведомости квитанций,  участвующих в теку-щем тираже;     - на основе сводной ведомости бухгалтерия готовит отчет  по  общейсумме ставок, произведенных на текущий тираж.     - размер эмиссии на текущий тираж определяется путем  суммированияобщей суммы ставок на текущий тираж и суммы,  вырученной от продажи со-ответствующего количества бланков заполнения,  ставки по которым и сос-тавляют общую сумму ставок.            II. Процедура внесения платы для тиражных лотерей          с заранее не установленным объемом годовой эмиссии      7. В лотереях,  в которых в течение года проводится большое  коли-чество тиражей (например,  ежедекадно, еженедельно и т.д.), заранее ус-тановить объемом годовой эмиссии невозможно.  Для таких лотерей годоваяэмиссия определяется как сумма эмиссий на каждый тираж.     8. Эмиссия на текущий тираж определяется путем умножения стоимостилотерейного  билета на количество билетов,  фактически реализованных наданный тираж. Количество фактически реализованных билетов фиксируется вотчете о результатах продажи на текущий тираж.                  III. Порядок предоставления сведений                     об операционной деятельности      9. После  оплаты  в  Управление небанковского надзора Министерствафинансов предоставляются следующие документы:     - копия квитанции или платежного поручения об уплате платы за пра-во осуществления лотерейной деятельности;     - отчеты по общей сумме ставок на тиражи,  проведенные за отчетныймесяц;     - сводные  ведомости  квитанций  (отчеты о результатах продажи) натиражи, проведенные за отчетный месяц;     -  протоколы тиражной комиссии за отчетный месяц;     - таблицы номеров выигрышных билетов на тиражи, проведенные за от-четный месяц.     10. Процедура внесения платы за право осуществления лотерейной де-ятельности для системных игр будет разработана позже и оформлена в видеДополнения, являющегося неотъемлемой частью настоящей Инструкции(*).     (*) Это связано с тем,  что в  настоящее  время  зарегистрированныесистемные  игры в Кыргызской Республике отсутствуют и при их появлении,возможно, возникнет необходимость учета некоторых чисто технических ас-пектов передачи и съема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pc9n6iww4g5p0muj2un">
      <w:r>
        <w:rPr>
          <w:rFonts w:ascii="Arial" w:cs="Arial" w:eastAsia="Arial" w:hAnsi="Arial"/>
          <w:color w:val="132D3F"/>
          <w:sz w:val="16"/>
          <w:szCs w:val="16"/>
          <w:u w:val="single"/>
        </w:rPr>
        <w:t xml:space="preserve">dalil.kg/document/31602</w:t>
      </w:r>
    </w:hyperlink>
  </w:p>
  <w:p>
    <w:pPr>
      <w:spacing w:after="0" w:before="40"/>
      <w:jc w:val="center"/>
    </w:pPr>
    <w:hyperlink w:history="1" r:id="rIdi3cn7svjg7jtw-uk-96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cdnmkocuy0tkgjeyd6p" Type="http://schemas.openxmlformats.org/officeDocument/2006/relationships/hyperlink" Target="https://dalil.kg/document/31568" TargetMode="External"/><Relationship Id="rIdb9uux52uo5_pw8qob3wqm" Type="http://schemas.openxmlformats.org/officeDocument/2006/relationships/hyperlink" Target="https://dalil.kg/document/6862" TargetMode="External"/><Relationship Id="rIdonubpvoyaxwitywzv5w09" Type="http://schemas.openxmlformats.org/officeDocument/2006/relationships/hyperlink" Target="https://dalil.kg/document/7840" TargetMode="External"/><Relationship Id="rIds_timbjd1yntavxjssozs" Type="http://schemas.openxmlformats.org/officeDocument/2006/relationships/hyperlink" Target="https://dalil.kg/document/381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pc9n6iww4g5p0muj2un" Type="http://schemas.openxmlformats.org/officeDocument/2006/relationships/hyperlink" Target="https://dalil.kg/document/31602" TargetMode="External"/><Relationship Id="rIdi3cn7svjg7jtw-uk-96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2026-09-30T20:58:38.401Z</dcterms:created>
  <dcterms:modified xsi:type="dcterms:W3CDTF">2026-09-30T20:58:38.401Z</dcterms:modified>
</cp:coreProperties>
</file>

<file path=docProps/custom.xml><?xml version="1.0" encoding="utf-8"?>
<Properties xmlns="http://schemas.openxmlformats.org/officeDocument/2006/custom-properties" xmlns:vt="http://schemas.openxmlformats.org/officeDocument/2006/docPropsVTypes"/>
</file>