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8ohiqotkrpn9hveav3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января 1999 года N 20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образовании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 использовании фонда материального поощрения</w:t>
      </w:r>
    </w:p>
    <w:p>
      <w:r>
        <w:rPr>
          <w:rFonts w:ascii="Arial" w:cs="Arial" w:eastAsia="Arial" w:hAnsi="Arial"/>
          <w:sz w:val="24"/>
          <w:szCs w:val="24"/>
        </w:rPr>
        <w:t xml:space="preserve">и социального развитии Счетной палаты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палате    Кыргызской    Республики"   от    29   декабря   1998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образовании  и использовании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фонда   материального  поощрения  и   социального   развития 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el30k1dp4qlsx7mch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dalil.kg/document/33086</w:t>
      </w:r>
    </w:hyperlink>
  </w:p>
  <w:p>
    <w:pPr>
      <w:spacing w:after="0" w:before="40"/>
      <w:jc w:val="center"/>
    </w:pPr>
    <w:hyperlink w:history="1" r:id="rId6kifdy8-kisbnbpmmql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ohiqotkrpn9hveav3kw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el30k1dp4qlsx7mchsr" Type="http://schemas.openxmlformats.org/officeDocument/2006/relationships/hyperlink" Target="https://dalil.kg/document/33086" TargetMode="External"/><Relationship Id="rId6kifdy8-kisbnbpmmql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2026-09-25T03:30:41.547Z</dcterms:created>
  <dcterms:modified xsi:type="dcterms:W3CDTF">2026-09-25T03:30:41.547Z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