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Утверждено 
 </w:t>
      </w:r>
      <w:hyperlink w:history="1" r:id="rIdhhu0cv2x2qvwwkmgxjofz">
        <w:r>
          <w:rPr>
            <w:rFonts w:ascii="Arial" w:cs="Arial" w:eastAsia="Arial" w:hAnsi="Arial"/>
            <w:color w:val="1D4ED8"/>
            <w:sz w:val="20"/>
            <w:szCs w:val="20"/>
            <w:u w:val="single"/>
          </w:rPr>
          <w:t xml:space="preserve">Указом</w:t>
        </w:r>
      </w:hyperlink>
      <w:r>
        <w:rPr>
          <w:rFonts w:ascii="Arial" w:cs="Arial" w:eastAsia="Arial" w:hAnsi="Arial"/>
          <w:sz w:val="20"/>
          <w:szCs w:val="20"/>
        </w:rPr>
        <w:t xml:space="preserve"> Президента Кыргызской Республики 
 от 2 мая 2001 года N 152</w:t>
      </w:r>
    </w:p>
    <w:p>
      <w:pPr>
        <w:spacing w:after="120"/>
        <w:jc w:val="center"/>
      </w:pPr>
      <w:r>
        <w:rPr>
          <w:rFonts w:ascii="Arial" w:cs="Arial" w:eastAsia="Arial" w:hAnsi="Arial"/>
          <w:i/>
          <w:iCs/>
          <w:sz w:val="24"/>
          <w:szCs w:val="24"/>
        </w:rPr>
        <w:t xml:space="preserve">УТРАТИЛ СИЛУ
 в соответствии с </w:t>
      </w:r>
      <w:hyperlink w:history="1" r:id="rIdttim8qu7j7nymarmc5yvg">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8 декабря 2025 года № 352</w:t>
      </w:r>
    </w:p>
    <w:p>
      <w:pPr>
        <w:spacing w:after="400" w:before="400"/>
        <w:jc w:val="center"/>
      </w:pPr>
      <w:r>
        <w:rPr>
          <w:rFonts w:ascii="Arial" w:cs="Arial" w:eastAsia="Arial" w:hAnsi="Arial"/>
          <w:b/>
          <w:bCs/>
          <w:sz w:val="32"/>
          <w:szCs w:val="32"/>
        </w:rPr>
        <w:t xml:space="preserve">ПОЛОЖЕНИЕ 
 о народном курултае представителей местного сообщества</w:t>
      </w:r>
    </w:p>
    <w:p>
      <w:pPr>
        <w:spacing w:after="400" w:before="400"/>
        <w:jc w:val="center"/>
      </w:pPr>
      <w:r>
        <w:rPr>
          <w:rFonts w:ascii="Arial" w:cs="Arial" w:eastAsia="Arial" w:hAnsi="Arial"/>
          <w:i/>
          <w:iCs/>
          <w:sz w:val="24"/>
          <w:szCs w:val="24"/>
        </w:rPr>
        <w:t xml:space="preserve">(В редакции Указов Президента КР 
 от </w:t>
      </w:r>
      <w:hyperlink w:history="1" r:id="rId-lqbmo_6d__wk9jshvdve">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8 сен</w:t>
        </w:r>
        <w:r>
          <w:rPr>
            <w:rFonts w:ascii="Arial" w:cs="Arial" w:eastAsia="Arial" w:hAnsi="Arial"/>
            <w:i/>
            <w:iCs/>
            <w:color w:val="1D4ED8"/>
            <w:sz w:val="24"/>
            <w:szCs w:val="24"/>
            <w:u w:val="single"/>
          </w:rPr>
          <w:t xml:space="preserve">тября 202</w:t>
        </w:r>
        <w:r>
          <w:rPr>
            <w:rFonts w:ascii="Arial" w:cs="Arial" w:eastAsia="Arial" w:hAnsi="Arial"/>
            <w:i/>
            <w:iCs/>
            <w:color w:val="1D4ED8"/>
            <w:sz w:val="24"/>
            <w:szCs w:val="24"/>
            <w:u w:val="single"/>
          </w:rPr>
          <w:t xml:space="preserve">2 </w:t>
        </w:r>
        <w:r>
          <w:rPr>
            <w:rFonts w:ascii="Arial" w:cs="Arial" w:eastAsia="Arial" w:hAnsi="Arial"/>
            <w:i/>
            <w:iCs/>
            <w:color w:val="1D4ED8"/>
            <w:sz w:val="24"/>
            <w:szCs w:val="24"/>
            <w:u w:val="single"/>
          </w:rPr>
          <w:t xml:space="preserve">года УП № </w:t>
        </w:r>
        <w:r>
          <w:rPr>
            <w:rFonts w:ascii="Arial" w:cs="Arial" w:eastAsia="Arial" w:hAnsi="Arial"/>
            <w:i/>
            <w:iCs/>
            <w:color w:val="1D4ED8"/>
            <w:sz w:val="24"/>
            <w:szCs w:val="24"/>
            <w:u w:val="single"/>
          </w:rPr>
          <w:t xml:space="preserve">328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понятия</w:t>
      </w:r>
    </w:p>
    <w:p>
      <w:pPr>
        <w:spacing w:after="60"/>
        <w:ind w:firstLine="567"/>
        <w:jc w:val="both"/>
      </w:pPr>
      <w:r>
        <w:rPr>
          <w:rFonts w:ascii="Arial" w:cs="Arial" w:eastAsia="Arial" w:hAnsi="Arial"/>
          <w:b/>
          <w:bCs/>
          <w:sz w:val="20"/>
          <w:szCs w:val="20"/>
        </w:rPr>
        <w:t xml:space="preserve">Народный курултай</w:t>
      </w:r>
      <w:r>
        <w:rPr>
          <w:rFonts w:ascii="Arial" w:cs="Arial" w:eastAsia="Arial" w:hAnsi="Arial"/>
          <w:sz w:val="20"/>
          <w:szCs w:val="20"/>
        </w:rPr>
        <w:t xml:space="preserve"> - представительная форма участия членов местного сообщества в управлении делами местного значения, осуществляемом путем избрания ими делегатов курултая в соответствии с настоящим Положением, и обсуждении на курултае важных вопросов жизнедеятельности местного сообщества, включая отчеты глав местного самоуправления и местных государственных администраций о деятельности местных органов власти.</w:t>
      </w:r>
    </w:p>
    <w:p>
      <w:pPr>
        <w:spacing w:after="60"/>
        <w:ind w:firstLine="567"/>
        <w:jc w:val="both"/>
      </w:pPr>
      <w:r>
        <w:rPr>
          <w:rFonts w:ascii="Arial" w:cs="Arial" w:eastAsia="Arial" w:hAnsi="Arial"/>
          <w:b/>
          <w:bCs/>
          <w:sz w:val="20"/>
          <w:szCs w:val="20"/>
        </w:rPr>
        <w:t xml:space="preserve">Сход граждан</w:t>
      </w:r>
      <w:r>
        <w:rPr>
          <w:rFonts w:ascii="Arial" w:cs="Arial" w:eastAsia="Arial" w:hAnsi="Arial"/>
          <w:sz w:val="20"/>
          <w:szCs w:val="20"/>
        </w:rPr>
        <w:t xml:space="preserve"> - прямая форма участия членов местного сообщества в управлении делами местного значения путем обсуждения вопросов жизнеобеспечения и жизнедеятельности сообщества на собраниях граждан, проживающих на территории одной улицы, квартала, микрорайона или села, с принятием по ним рекомендаций или решений в соответствии с Уставом местного сообщества.</w:t>
      </w:r>
    </w:p>
    <w:p>
      <w:pPr>
        <w:spacing w:after="60"/>
        <w:ind w:firstLine="567"/>
        <w:jc w:val="both"/>
      </w:pPr>
      <w:r>
        <w:rPr>
          <w:rFonts w:ascii="Arial" w:cs="Arial" w:eastAsia="Arial" w:hAnsi="Arial"/>
          <w:b/>
          <w:bCs/>
          <w:sz w:val="20"/>
          <w:szCs w:val="20"/>
        </w:rPr>
        <w:t xml:space="preserve">Инициативная группа</w:t>
      </w:r>
      <w:r>
        <w:rPr>
          <w:rFonts w:ascii="Arial" w:cs="Arial" w:eastAsia="Arial" w:hAnsi="Arial"/>
          <w:sz w:val="20"/>
          <w:szCs w:val="20"/>
        </w:rPr>
        <w:t xml:space="preserve"> - группа членов местного сообщества, инициирующая проведение курултая или схода граждан в соответствии с Уставом местного сообщества.</w:t>
      </w:r>
    </w:p>
    <w:p>
      <w:pPr>
        <w:spacing w:after="60"/>
        <w:ind w:firstLine="567"/>
        <w:jc w:val="both"/>
      </w:pPr>
      <w:r>
        <w:rPr>
          <w:rFonts w:ascii="Arial" w:cs="Arial" w:eastAsia="Arial" w:hAnsi="Arial"/>
          <w:b/>
          <w:bCs/>
          <w:sz w:val="20"/>
          <w:szCs w:val="20"/>
        </w:rPr>
        <w:t xml:space="preserve">Комиссия по организации и проведению курултая</w:t>
      </w:r>
      <w:r>
        <w:rPr>
          <w:rFonts w:ascii="Arial" w:cs="Arial" w:eastAsia="Arial" w:hAnsi="Arial"/>
          <w:sz w:val="20"/>
          <w:szCs w:val="20"/>
        </w:rPr>
        <w:t xml:space="preserve"> - комиссия, образуемая соответствующим местным кенешем, для проведения выборов делегатов курултая и первого его организационного собрания в соответствии с Уставом местного сообщества.</w:t>
      </w:r>
    </w:p>
    <w:p>
      <w:pPr>
        <w:spacing w:after="60"/>
        <w:ind w:firstLine="567"/>
        <w:jc w:val="both"/>
      </w:pPr>
      <w:r>
        <w:rPr>
          <w:rFonts w:ascii="Arial" w:cs="Arial" w:eastAsia="Arial" w:hAnsi="Arial"/>
          <w:b/>
          <w:bCs/>
          <w:sz w:val="20"/>
          <w:szCs w:val="20"/>
        </w:rPr>
        <w:t xml:space="preserve">Местное сообщество</w:t>
      </w:r>
      <w:r>
        <w:rPr>
          <w:rFonts w:ascii="Arial" w:cs="Arial" w:eastAsia="Arial" w:hAnsi="Arial"/>
          <w:sz w:val="20"/>
          <w:szCs w:val="20"/>
        </w:rPr>
        <w:t xml:space="preserve"> - население, постоянно проживающее на территории аильного, поселкового и городского кенешей, объединенное общими интересами в решении вопросов местного значения через свои представительные, исполнительные и другие органы.</w:t>
      </w:r>
    </w:p>
    <w:p>
      <w:pPr>
        <w:spacing w:after="60"/>
        <w:ind w:firstLine="567"/>
        <w:jc w:val="both"/>
      </w:pPr>
      <w:r>
        <w:rPr>
          <w:rFonts w:ascii="Arial" w:cs="Arial" w:eastAsia="Arial" w:hAnsi="Arial"/>
          <w:b/>
          <w:bCs/>
          <w:sz w:val="20"/>
          <w:szCs w:val="20"/>
        </w:rPr>
        <w:t xml:space="preserve">Член местного сообщества</w:t>
      </w:r>
      <w:r>
        <w:rPr>
          <w:rFonts w:ascii="Arial" w:cs="Arial" w:eastAsia="Arial" w:hAnsi="Arial"/>
          <w:sz w:val="20"/>
          <w:szCs w:val="20"/>
        </w:rPr>
        <w:t xml:space="preserve"> - гражданин Кыргызской Республики, постоянно проживающий на территории местного сообщества и связанный с ним взаимными обязательствами. Гражданин Кыргызской Республики, не проживающий на территории местного сообщества, но имеющий на данной территории на праве собственности недвижимое имущество, уплачивающий налоги в местный бюджет и заявивший о своем желании участвовать в делах местного сообщества, может быть его членом.</w:t>
      </w:r>
    </w:p>
    <w:p>
      <w:pPr>
        <w:spacing w:after="200" w:before="200"/>
        <w:jc w:val="center"/>
      </w:pPr>
      <w:r>
        <w:rPr>
          <w:rFonts w:ascii="Arial" w:cs="Arial" w:eastAsia="Arial" w:hAnsi="Arial"/>
          <w:b/>
          <w:bCs/>
          <w:sz w:val="24"/>
          <w:szCs w:val="24"/>
        </w:rPr>
        <w:t xml:space="preserve">II. Общие положения</w:t>
      </w:r>
    </w:p>
    <w:p>
      <w:pPr>
        <w:spacing w:after="60"/>
        <w:ind w:firstLine="567"/>
        <w:jc w:val="both"/>
      </w:pPr>
      <w:r>
        <w:rPr>
          <w:rFonts w:ascii="Arial" w:cs="Arial" w:eastAsia="Arial" w:hAnsi="Arial"/>
          <w:sz w:val="20"/>
          <w:szCs w:val="20"/>
        </w:rPr>
        <w:t xml:space="preserve">1. Для принятия коллективных решений по важнейшим вопросам местного значения, требующих обсуждения с членами сообщества, на территории каждого сельского (поселкового) кенеша и города Кыргызской Республики созываются народные курултаи из числа представителей местного сообщества, избранных на сходах граждан делегатами курултая в соответствии с настоящим Положением.</w:t>
      </w:r>
    </w:p>
    <w:p>
      <w:pPr>
        <w:spacing w:after="60"/>
        <w:ind w:firstLine="567"/>
        <w:jc w:val="both"/>
      </w:pPr>
      <w:r>
        <w:rPr>
          <w:rFonts w:ascii="Arial" w:cs="Arial" w:eastAsia="Arial" w:hAnsi="Arial"/>
          <w:sz w:val="20"/>
          <w:szCs w:val="20"/>
        </w:rPr>
        <w:t xml:space="preserve">2. Народный курултай вправе рассматривать все жизненно важные вопросы местного сообщества, включая:</w:t>
      </w:r>
    </w:p>
    <w:p>
      <w:pPr>
        <w:spacing w:after="60"/>
        <w:ind w:firstLine="567"/>
        <w:jc w:val="both"/>
      </w:pPr>
      <w:r>
        <w:rPr>
          <w:rFonts w:ascii="Arial" w:cs="Arial" w:eastAsia="Arial" w:hAnsi="Arial"/>
          <w:sz w:val="20"/>
          <w:szCs w:val="20"/>
        </w:rPr>
        <w:t xml:space="preserve">- принятие Устава местного сообщества, внесения в него изменений и дополнений;</w:t>
      </w:r>
    </w:p>
    <w:p>
      <w:pPr>
        <w:spacing w:after="60"/>
        <w:ind w:firstLine="567"/>
        <w:jc w:val="both"/>
      </w:pPr>
      <w:r>
        <w:rPr>
          <w:rFonts w:ascii="Arial" w:cs="Arial" w:eastAsia="Arial" w:hAnsi="Arial"/>
          <w:sz w:val="20"/>
          <w:szCs w:val="20"/>
        </w:rPr>
        <w:t xml:space="preserve">- утверждение основных принципов и правил организации самофинансирования, самообеспечения, саморегулирования и самовоспитания на территории местного сообщества;</w:t>
      </w:r>
    </w:p>
    <w:p>
      <w:pPr>
        <w:spacing w:after="60"/>
        <w:ind w:firstLine="567"/>
        <w:jc w:val="both"/>
      </w:pPr>
      <w:r>
        <w:rPr>
          <w:rFonts w:ascii="Arial" w:cs="Arial" w:eastAsia="Arial" w:hAnsi="Arial"/>
          <w:sz w:val="20"/>
          <w:szCs w:val="20"/>
        </w:rPr>
        <w:t xml:space="preserve">- формирование, выполнение и использование местного бюджета, а также внебюджетных средств местного сообщества;</w:t>
      </w:r>
    </w:p>
    <w:p>
      <w:pPr>
        <w:spacing w:after="60"/>
        <w:ind w:firstLine="567"/>
        <w:jc w:val="both"/>
      </w:pPr>
      <w:r>
        <w:rPr>
          <w:rFonts w:ascii="Arial" w:cs="Arial" w:eastAsia="Arial" w:hAnsi="Arial"/>
          <w:sz w:val="20"/>
          <w:szCs w:val="20"/>
        </w:rPr>
        <w:t xml:space="preserve">- проекты программ социально-экономического развития территории и социальной защиты местного населения;</w:t>
      </w:r>
    </w:p>
    <w:p>
      <w:pPr>
        <w:spacing w:after="60"/>
        <w:ind w:firstLine="567"/>
        <w:jc w:val="both"/>
      </w:pPr>
      <w:r>
        <w:rPr>
          <w:rFonts w:ascii="Arial" w:cs="Arial" w:eastAsia="Arial" w:hAnsi="Arial"/>
          <w:sz w:val="20"/>
          <w:szCs w:val="20"/>
        </w:rPr>
        <w:t xml:space="preserve">- заслушивание отчетов глав местного самоуправления сел, поселков и городов, а также глав местных государственных администраций и деятельности исполнительных органов по претворению в жизнь решений народного курултая;</w:t>
      </w:r>
    </w:p>
    <w:p>
      <w:pPr>
        <w:spacing w:after="60"/>
        <w:ind w:firstLine="567"/>
        <w:jc w:val="both"/>
      </w:pPr>
      <w:r>
        <w:rPr>
          <w:rFonts w:ascii="Arial" w:cs="Arial" w:eastAsia="Arial" w:hAnsi="Arial"/>
          <w:sz w:val="20"/>
          <w:szCs w:val="20"/>
        </w:rPr>
        <w:t xml:space="preserve">- установление основных правил и мер по охране общественного порядка, соблюдению экологических и санитарных требований, организации празднеств, религиозных обрядов и различных публичных мероприятий и других мероприятий, которые могут повлиять на состояние жизнедеятельности местного сообщества;</w:t>
      </w:r>
    </w:p>
    <w:p>
      <w:pPr>
        <w:spacing w:after="60"/>
        <w:ind w:firstLine="567"/>
        <w:jc w:val="both"/>
      </w:pPr>
      <w:r>
        <w:rPr>
          <w:rFonts w:ascii="Arial" w:cs="Arial" w:eastAsia="Arial" w:hAnsi="Arial"/>
          <w:sz w:val="20"/>
          <w:szCs w:val="20"/>
        </w:rPr>
        <w:t xml:space="preserve">- установление обязательных норм по несению общественной службы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60"/>
        <w:ind w:firstLine="567"/>
        <w:jc w:val="both"/>
      </w:pPr>
      <w:r>
        <w:rPr>
          <w:rFonts w:ascii="Arial" w:cs="Arial" w:eastAsia="Arial" w:hAnsi="Arial"/>
          <w:sz w:val="20"/>
          <w:szCs w:val="20"/>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60"/>
        <w:ind w:firstLine="567"/>
        <w:jc w:val="both"/>
      </w:pPr>
      <w:r>
        <w:rPr>
          <w:rFonts w:ascii="Arial" w:cs="Arial" w:eastAsia="Arial" w:hAnsi="Arial"/>
          <w:sz w:val="20"/>
          <w:szCs w:val="20"/>
        </w:rPr>
        <w:t xml:space="preserve">3. Решения народного курултая, не противоречащие законодательству Кыргызской Республики и Уставу местного сообщества, обязательны для исполнения на всей территории соответствующей административно-территориальной единицы.</w:t>
      </w:r>
    </w:p>
    <w:p>
      <w:pPr>
        <w:spacing w:after="60"/>
        <w:ind w:firstLine="567"/>
        <w:jc w:val="both"/>
      </w:pPr>
      <w:r>
        <w:rPr>
          <w:rFonts w:ascii="Arial" w:cs="Arial" w:eastAsia="Arial" w:hAnsi="Arial"/>
          <w:sz w:val="20"/>
          <w:szCs w:val="20"/>
        </w:rPr>
        <w:t xml:space="preserve">4. Решения народного курултая по вопросам местного бюджета, программы социально-экономического развития территории и социальной защиты местного населения, выражения недоверия главе местного самоуправления или главе местной государственной администрации, а также о продлении срока полномочий главы местного самоуправления и главы местной государственной администрации на второй срок носят рекомендательный характер и в обязательном порядке вносятся на рассмотрение сессии соответствующего кенеша и принимаются двумя третями голосов депутатов всего состава кенеша.</w:t>
      </w:r>
    </w:p>
    <w:p>
      <w:pPr>
        <w:spacing w:after="200" w:before="200"/>
        <w:jc w:val="center"/>
      </w:pPr>
      <w:r>
        <w:rPr>
          <w:rFonts w:ascii="Arial" w:cs="Arial" w:eastAsia="Arial" w:hAnsi="Arial"/>
          <w:b/>
          <w:bCs/>
          <w:sz w:val="24"/>
          <w:szCs w:val="24"/>
        </w:rPr>
        <w:t xml:space="preserve">III. Организация созыва народного курултая</w:t>
      </w:r>
    </w:p>
    <w:p>
      <w:pPr>
        <w:spacing w:after="60"/>
        <w:ind w:firstLine="567"/>
        <w:jc w:val="both"/>
      </w:pPr>
      <w:r>
        <w:rPr>
          <w:rFonts w:ascii="Arial" w:cs="Arial" w:eastAsia="Arial" w:hAnsi="Arial"/>
          <w:sz w:val="20"/>
          <w:szCs w:val="20"/>
        </w:rPr>
        <w:t xml:space="preserve">5. Решение о созыве народного курултая представителей местного сообщества соответствующей территории, повестка дня и сроки его проведения принимаются соответствующим местным кенешем. При этом каждый кенеш, исходя из численности членов местного сообщества и с учетом других особенностей своей территории, устанавливает норму представительства для избрания делегатов народного курултая. Если территория сельского или городского кенеша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60"/>
        <w:ind w:firstLine="567"/>
        <w:jc w:val="both"/>
      </w:pPr>
      <w:r>
        <w:rPr>
          <w:rFonts w:ascii="Arial" w:cs="Arial" w:eastAsia="Arial" w:hAnsi="Arial"/>
          <w:sz w:val="20"/>
          <w:szCs w:val="20"/>
        </w:rPr>
        <w:t xml:space="preserve">6. Делегаты на народный курултай села, поселка и города избираются на сходах, собраниях жителей, согласно норме представительства, установленной соответствующим кенешем.</w:t>
      </w:r>
    </w:p>
    <w:p>
      <w:pPr>
        <w:spacing w:after="60"/>
        <w:ind w:firstLine="567"/>
        <w:jc w:val="both"/>
      </w:pPr>
      <w:r>
        <w:rPr>
          <w:rFonts w:ascii="Arial" w:cs="Arial" w:eastAsia="Arial" w:hAnsi="Arial"/>
          <w:sz w:val="20"/>
          <w:szCs w:val="20"/>
        </w:rPr>
        <w:t xml:space="preserve">Делегаты на народный курултай представителей местных сообществ района избираются на курултаях села, поселка и города районного подчинения, входящих в состав района, согласно норме представительства, установленной районным кенешем.</w:t>
      </w:r>
    </w:p>
    <w:p>
      <w:pPr>
        <w:spacing w:after="60"/>
        <w:ind w:firstLine="567"/>
        <w:jc w:val="both"/>
      </w:pPr>
      <w:r>
        <w:rPr>
          <w:rFonts w:ascii="Arial" w:cs="Arial" w:eastAsia="Arial" w:hAnsi="Arial"/>
          <w:sz w:val="20"/>
          <w:szCs w:val="20"/>
        </w:rPr>
        <w:t xml:space="preserve">Делегаты на народный курултай представителей местных сообществ области и республики избираются на народных курултаях района и города, согласно норме представительства, установленной областным кенешем и Конгрессом местных сообществ Кыргызской Республики.</w:t>
      </w:r>
    </w:p>
    <w:p>
      <w:pPr>
        <w:spacing w:after="60"/>
        <w:ind w:firstLine="567"/>
        <w:jc w:val="both"/>
      </w:pPr>
      <w:r>
        <w:rPr>
          <w:rFonts w:ascii="Arial" w:cs="Arial" w:eastAsia="Arial" w:hAnsi="Arial"/>
          <w:sz w:val="20"/>
          <w:szCs w:val="20"/>
        </w:rPr>
        <w:t xml:space="preserve">7. Инициатива созыва народного курултая представителей местного сообщества соответствующей территории с указанием конкретной повестки дня курултая принадлежит местному кенешу, инициативной группе населения, главе местного самоуправления, главе местной государственной администрации, а также министру Кыргызской Республики по делам местного самоуправления и регионального развития, Конгрессу местных сообществ, в том числе Ассоциации городов Кыргызской Республики.</w:t>
      </w:r>
    </w:p>
    <w:p>
      <w:pPr>
        <w:spacing w:after="60"/>
        <w:ind w:firstLine="567"/>
        <w:jc w:val="both"/>
      </w:pPr>
      <w:r>
        <w:rPr>
          <w:rFonts w:ascii="Arial" w:cs="Arial" w:eastAsia="Arial" w:hAnsi="Arial"/>
          <w:sz w:val="20"/>
          <w:szCs w:val="20"/>
        </w:rPr>
        <w:t xml:space="preserve">При этом вопросы, имеющие общереспубликанское значение, вносимые по предложению министра Кыргызской Республики по делам местного самоуправления и регионального развития, Конгресса местных сообществ, в том числе Ассоциации городов Кыргызской Республики, могут обсуждаться народными курултаями всех уровней с единой повесткой дня в соответствии с графиком, утвержденным министром Кыргызской Республики по делам местного самоуправления и регионального развития.</w:t>
      </w:r>
    </w:p>
    <w:p>
      <w:pPr>
        <w:spacing w:after="60"/>
        <w:ind w:firstLine="567"/>
        <w:jc w:val="both"/>
      </w:pPr>
      <w:r>
        <w:rPr>
          <w:rFonts w:ascii="Arial" w:cs="Arial" w:eastAsia="Arial" w:hAnsi="Arial"/>
          <w:sz w:val="20"/>
          <w:szCs w:val="20"/>
        </w:rPr>
        <w:t xml:space="preserve">8. Для созыва народного курултая соответствующей территории инициативная группа населения должна представить местному кенешу и главе местного самоуправления, а также главе местной государственной администрации подписные листы, подписанные не менее 15 процентами членов соответствующего местного сообщества. При этом в кенешах, на территории которых имеется более одного населенного пункта, подписные листы должны быть подписаны не менее 15 процентами жителей каждого населенного пункта.</w:t>
      </w:r>
    </w:p>
    <w:p>
      <w:pPr>
        <w:spacing w:after="60"/>
        <w:ind w:firstLine="567"/>
        <w:jc w:val="both"/>
      </w:pPr>
      <w:r>
        <w:rPr>
          <w:rFonts w:ascii="Arial" w:cs="Arial" w:eastAsia="Arial" w:hAnsi="Arial"/>
          <w:sz w:val="20"/>
          <w:szCs w:val="20"/>
        </w:rPr>
        <w:t xml:space="preserve">Отказ от созыва народного курултая на основе предложения инициативной группы населения может быть обжалован в областной государственной администрации или в суде.</w:t>
      </w:r>
    </w:p>
    <w:p>
      <w:pPr>
        <w:spacing w:after="200" w:before="200"/>
        <w:jc w:val="center"/>
      </w:pPr>
      <w:r>
        <w:rPr>
          <w:rFonts w:ascii="Arial" w:cs="Arial" w:eastAsia="Arial" w:hAnsi="Arial"/>
          <w:b/>
          <w:bCs/>
          <w:sz w:val="24"/>
          <w:szCs w:val="24"/>
        </w:rPr>
        <w:t xml:space="preserve">IV. Избрание делегатов народного курултая на сходах и собраниях членов местного сообщества</w:t>
      </w:r>
    </w:p>
    <w:p>
      <w:pPr>
        <w:spacing w:after="60"/>
        <w:ind w:firstLine="567"/>
        <w:jc w:val="both"/>
      </w:pPr>
      <w:r>
        <w:rPr>
          <w:rFonts w:ascii="Arial" w:cs="Arial" w:eastAsia="Arial" w:hAnsi="Arial"/>
          <w:sz w:val="20"/>
          <w:szCs w:val="20"/>
        </w:rPr>
        <w:t xml:space="preserve">9. Сходы и собрания членов местного сообщества по месту жительства и работы для избрания делегатов на народный курултай села, поселка и города проводятся согласно графику, установленному соответствующим кенешем, и действительны только при участии на них членов комиссии по организации и проведению народного курултая и оформлении ими соответствующего протокола.</w:t>
      </w:r>
    </w:p>
    <w:p>
      <w:pPr>
        <w:spacing w:after="60"/>
        <w:ind w:firstLine="567"/>
        <w:jc w:val="both"/>
      </w:pPr>
      <w:r>
        <w:rPr>
          <w:rFonts w:ascii="Arial" w:cs="Arial" w:eastAsia="Arial" w:hAnsi="Arial"/>
          <w:sz w:val="20"/>
          <w:szCs w:val="20"/>
        </w:rPr>
        <w:t xml:space="preserve">10. Комисси</w:t>
      </w:r>
      <w:r>
        <w:rPr>
          <w:rFonts w:ascii="Arial" w:cs="Arial" w:eastAsia="Arial" w:hAnsi="Arial"/>
          <w:sz w:val="20"/>
          <w:szCs w:val="20"/>
        </w:rPr>
        <w:t xml:space="preserve">и</w:t>
      </w:r>
      <w:r>
        <w:rPr>
          <w:rFonts w:ascii="Arial" w:cs="Arial" w:eastAsia="Arial" w:hAnsi="Arial"/>
          <w:sz w:val="20"/>
          <w:szCs w:val="20"/>
        </w:rPr>
        <w:t xml:space="preserve"> по организации и проведению народного курултая (далее - комиссия), формиру</w:t>
      </w:r>
      <w:r>
        <w:rPr>
          <w:rFonts w:ascii="Arial" w:cs="Arial" w:eastAsia="Arial" w:hAnsi="Arial"/>
          <w:sz w:val="20"/>
          <w:szCs w:val="20"/>
        </w:rPr>
        <w:t xml:space="preserve">ю</w:t>
      </w:r>
      <w:r>
        <w:rPr>
          <w:rFonts w:ascii="Arial" w:cs="Arial" w:eastAsia="Arial" w:hAnsi="Arial"/>
          <w:sz w:val="20"/>
          <w:szCs w:val="20"/>
        </w:rPr>
        <w:t xml:space="preserve">тся местным кенешем в количестве </w:t>
      </w:r>
      <w:r>
        <w:rPr>
          <w:rFonts w:ascii="Arial" w:cs="Arial" w:eastAsia="Arial" w:hAnsi="Arial"/>
          <w:sz w:val="20"/>
          <w:szCs w:val="20"/>
        </w:rPr>
        <w:t xml:space="preserve">5</w:t>
      </w:r>
      <w:r>
        <w:rPr>
          <w:rFonts w:ascii="Arial" w:cs="Arial" w:eastAsia="Arial" w:hAnsi="Arial"/>
          <w:sz w:val="20"/>
          <w:szCs w:val="20"/>
        </w:rPr>
        <w:t xml:space="preserve">-</w:t>
      </w:r>
      <w:r>
        <w:rPr>
          <w:rFonts w:ascii="Arial" w:cs="Arial" w:eastAsia="Arial" w:hAnsi="Arial"/>
          <w:sz w:val="20"/>
          <w:szCs w:val="20"/>
        </w:rPr>
        <w:t xml:space="preserve">11</w:t>
      </w:r>
      <w:r>
        <w:rPr>
          <w:rFonts w:ascii="Arial" w:cs="Arial" w:eastAsia="Arial" w:hAnsi="Arial"/>
          <w:sz w:val="20"/>
          <w:szCs w:val="20"/>
        </w:rPr>
        <w:t xml:space="preserve"> человек. из числа депутатов местного кенеша</w:t>
      </w:r>
      <w:r>
        <w:rPr>
          <w:rFonts w:ascii="Arial" w:cs="Arial" w:eastAsia="Arial" w:hAnsi="Arial"/>
          <w:sz w:val="20"/>
          <w:szCs w:val="20"/>
        </w:rPr>
        <w:t xml:space="preserve">, </w:t>
      </w:r>
      <w:r>
        <w:rPr>
          <w:rFonts w:ascii="Arial" w:cs="Arial" w:eastAsia="Arial" w:hAnsi="Arial"/>
          <w:sz w:val="20"/>
          <w:szCs w:val="20"/>
        </w:rPr>
        <w:t xml:space="preserve">представителей и</w:t>
      </w:r>
      <w:r>
        <w:rPr>
          <w:rFonts w:ascii="Arial" w:cs="Arial" w:eastAsia="Arial" w:hAnsi="Arial"/>
          <w:sz w:val="20"/>
          <w:szCs w:val="20"/>
        </w:rPr>
        <w:t xml:space="preserve">нициативных групп населения,гражданского общества, общественных </w:t>
      </w:r>
      <w:r>
        <w:rPr>
          <w:rFonts w:ascii="Arial" w:cs="Arial" w:eastAsia="Arial" w:hAnsi="Arial"/>
          <w:sz w:val="20"/>
          <w:szCs w:val="20"/>
        </w:rPr>
        <w:t xml:space="preserve">организаций</w:t>
      </w:r>
      <w:r>
        <w:rPr>
          <w:rFonts w:ascii="Arial" w:cs="Arial" w:eastAsia="Arial" w:hAnsi="Arial"/>
          <w:sz w:val="20"/>
          <w:szCs w:val="20"/>
        </w:rPr>
        <w:t xml:space="preserve">, </w:t>
      </w:r>
      <w:r>
        <w:rPr>
          <w:rFonts w:ascii="Arial" w:cs="Arial" w:eastAsia="Arial" w:hAnsi="Arial"/>
          <w:sz w:val="20"/>
          <w:szCs w:val="20"/>
        </w:rPr>
        <w:t xml:space="preserve">работников</w:t>
      </w:r>
      <w:r>
        <w:rPr>
          <w:rFonts w:ascii="Arial" w:cs="Arial" w:eastAsia="Arial" w:hAnsi="Arial"/>
          <w:sz w:val="20"/>
          <w:szCs w:val="20"/>
        </w:rPr>
        <w:t xml:space="preserve"> айыл окмоту/мэрий городов”;</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6ovj7bhqplr_oayxxhzyl">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8 сен</w:t>
        </w:r>
        <w:r>
          <w:rPr>
            <w:rFonts w:ascii="Arial" w:cs="Arial" w:eastAsia="Arial" w:hAnsi="Arial"/>
            <w:i/>
            <w:iCs/>
            <w:color w:val="1D4ED8"/>
            <w:sz w:val="24"/>
            <w:szCs w:val="24"/>
            <w:u w:val="single"/>
          </w:rPr>
          <w:t xml:space="preserve">тября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УП № </w:t>
        </w:r>
        <w:r>
          <w:rPr>
            <w:rFonts w:ascii="Arial" w:cs="Arial" w:eastAsia="Arial" w:hAnsi="Arial"/>
            <w:i/>
            <w:iCs/>
            <w:color w:val="1D4ED8"/>
            <w:sz w:val="24"/>
            <w:szCs w:val="24"/>
            <w:u w:val="single"/>
          </w:rPr>
          <w:t xml:space="preserve">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0"/>
          <w:szCs w:val="20"/>
        </w:rPr>
        <w:t xml:space="preserve">Решение комиссии принимается открытым голосованием большинством голосов его членов. Комиссия разрабатывает и утверждает на своем заседании план мероприятий, связанных с подготовкой и проведением курултая.</w:t>
      </w:r>
    </w:p>
    <w:p>
      <w:pPr>
        <w:spacing w:after="60"/>
        <w:ind w:firstLine="567"/>
        <w:jc w:val="both"/>
      </w:pPr>
      <w:r>
        <w:rPr>
          <w:rFonts w:ascii="Arial" w:cs="Arial" w:eastAsia="Arial" w:hAnsi="Arial"/>
          <w:sz w:val="20"/>
          <w:szCs w:val="20"/>
        </w:rPr>
        <w:t xml:space="preserve">11. Сходы и собрания граждан избирают делегатов на народный курултай открытым голосованием простым большинством, с учетом национального, возрастного и гендерного баланса и иных особенностей своей территории с полномочиями представлять и защищать интересы членов своего сообщества.</w:t>
      </w:r>
    </w:p>
    <w:p>
      <w:pPr>
        <w:spacing w:after="60"/>
        <w:ind w:firstLine="567"/>
        <w:jc w:val="both"/>
      </w:pPr>
      <w:r>
        <w:rPr>
          <w:rFonts w:ascii="Arial" w:cs="Arial" w:eastAsia="Arial" w:hAnsi="Arial"/>
          <w:sz w:val="20"/>
          <w:szCs w:val="20"/>
        </w:rPr>
        <w:t xml:space="preserve">12. Правом выдвижения на сходе граждан кандидатов в делегаты на народный курултай обладают все члены местного сообщества, организации, органы территориального общественного самоуправления, политические партии и другие неправительственные организации соответствующей территории.</w:t>
      </w:r>
    </w:p>
    <w:p>
      <w:pPr>
        <w:spacing w:after="60"/>
        <w:ind w:firstLine="567"/>
        <w:jc w:val="both"/>
      </w:pPr>
      <w:r>
        <w:rPr>
          <w:rFonts w:ascii="Arial" w:cs="Arial" w:eastAsia="Arial" w:hAnsi="Arial"/>
          <w:sz w:val="20"/>
          <w:szCs w:val="20"/>
        </w:rPr>
        <w:t xml:space="preserve">Количество выдвинутых кандидатов и делегатов не ограничивается.</w:t>
      </w:r>
    </w:p>
    <w:p>
      <w:pPr>
        <w:spacing w:after="60"/>
        <w:ind w:firstLine="567"/>
        <w:jc w:val="both"/>
      </w:pPr>
      <w:r>
        <w:rPr>
          <w:rFonts w:ascii="Arial" w:cs="Arial" w:eastAsia="Arial" w:hAnsi="Arial"/>
          <w:sz w:val="20"/>
          <w:szCs w:val="20"/>
        </w:rPr>
        <w:t xml:space="preserve">13. Делегаты на народный курултай первичного территориального уровня избираются с учетом количества членов местного сообщества и численности населенных пунктов, входящих в состав соответствующей административно-территориальной единицы, согласно норме представительства, утвержденной местным кенешем.</w:t>
      </w:r>
    </w:p>
    <w:p>
      <w:pPr>
        <w:spacing w:after="60"/>
        <w:ind w:firstLine="567"/>
        <w:jc w:val="both"/>
      </w:pPr>
      <w:r>
        <w:rPr>
          <w:rFonts w:ascii="Arial" w:cs="Arial" w:eastAsia="Arial" w:hAnsi="Arial"/>
          <w:sz w:val="20"/>
          <w:szCs w:val="20"/>
        </w:rPr>
        <w:t xml:space="preserve">Рекомендуемая норма представительства на народный курултай при количестве членов местного сообщества:</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xkanqo2hyu_v_f2hzv7b5">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8 сен</w:t>
        </w:r>
        <w:r>
          <w:rPr>
            <w:rFonts w:ascii="Arial" w:cs="Arial" w:eastAsia="Arial" w:hAnsi="Arial"/>
            <w:i/>
            <w:iCs/>
            <w:color w:val="1D4ED8"/>
            <w:sz w:val="24"/>
            <w:szCs w:val="24"/>
            <w:u w:val="single"/>
          </w:rPr>
          <w:t xml:space="preserve">тября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УП № </w:t>
        </w:r>
        <w:r>
          <w:rPr>
            <w:rFonts w:ascii="Arial" w:cs="Arial" w:eastAsia="Arial" w:hAnsi="Arial"/>
            <w:i/>
            <w:iCs/>
            <w:color w:val="1D4ED8"/>
            <w:sz w:val="24"/>
            <w:szCs w:val="24"/>
            <w:u w:val="single"/>
          </w:rPr>
          <w:t xml:space="preserve">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 до 2000 </w:t>
      </w:r>
      <w:r>
        <w:rPr>
          <w:rFonts w:ascii="Arial" w:cs="Arial" w:eastAsia="Arial" w:hAnsi="Arial"/>
          <w:sz w:val="24"/>
          <w:szCs w:val="24"/>
        </w:rPr>
        <w:t xml:space="preserve">	</w:t>
      </w:r>
      <w:r>
        <w:rPr>
          <w:rFonts w:ascii="Arial" w:cs="Arial" w:eastAsia="Arial" w:hAnsi="Arial"/>
          <w:sz w:val="20"/>
          <w:szCs w:val="20"/>
        </w:rPr>
        <w:t xml:space="preserve">20</w:t>
      </w:r>
    </w:p>
    <w:p>
      <w:pPr>
        <w:tabs>
          <w:tab w:val="right" w:pos="10178"/>
        </w:tabs>
        <w:spacing w:after="120"/>
      </w:pPr>
      <w:r>
        <w:rPr>
          <w:rFonts w:ascii="Arial" w:cs="Arial" w:eastAsia="Arial" w:hAnsi="Arial"/>
          <w:sz w:val="20"/>
          <w:szCs w:val="20"/>
        </w:rPr>
        <w:t xml:space="preserve">- от 2001 до 5000 </w:t>
      </w:r>
      <w:r>
        <w:rPr>
          <w:rFonts w:ascii="Arial" w:cs="Arial" w:eastAsia="Arial" w:hAnsi="Arial"/>
          <w:sz w:val="24"/>
          <w:szCs w:val="24"/>
        </w:rPr>
        <w:t xml:space="preserve">	</w:t>
      </w:r>
      <w:r>
        <w:rPr>
          <w:rFonts w:ascii="Arial" w:cs="Arial" w:eastAsia="Arial" w:hAnsi="Arial"/>
          <w:sz w:val="20"/>
          <w:szCs w:val="20"/>
        </w:rPr>
        <w:t xml:space="preserve">40</w:t>
      </w:r>
    </w:p>
    <w:p>
      <w:pPr>
        <w:tabs>
          <w:tab w:val="right" w:pos="10178"/>
        </w:tabs>
        <w:spacing w:after="120"/>
      </w:pPr>
      <w:r>
        <w:rPr>
          <w:rFonts w:ascii="Arial" w:cs="Arial" w:eastAsia="Arial" w:hAnsi="Arial"/>
          <w:sz w:val="20"/>
          <w:szCs w:val="20"/>
        </w:rPr>
        <w:t xml:space="preserve">- от 5001 до 10000 </w:t>
      </w:r>
      <w:r>
        <w:rPr>
          <w:rFonts w:ascii="Arial" w:cs="Arial" w:eastAsia="Arial" w:hAnsi="Arial"/>
          <w:sz w:val="24"/>
          <w:szCs w:val="24"/>
        </w:rPr>
        <w:t xml:space="preserve">	</w:t>
      </w:r>
      <w:r>
        <w:rPr>
          <w:rFonts w:ascii="Arial" w:cs="Arial" w:eastAsia="Arial" w:hAnsi="Arial"/>
          <w:sz w:val="20"/>
          <w:szCs w:val="20"/>
        </w:rPr>
        <w:t xml:space="preserve">50</w:t>
      </w:r>
    </w:p>
    <w:p>
      <w:pPr>
        <w:tabs>
          <w:tab w:val="right" w:pos="10178"/>
        </w:tabs>
        <w:spacing w:after="120"/>
      </w:pPr>
      <w:r>
        <w:rPr>
          <w:rFonts w:ascii="Arial" w:cs="Arial" w:eastAsia="Arial" w:hAnsi="Arial"/>
          <w:sz w:val="20"/>
          <w:szCs w:val="20"/>
        </w:rPr>
        <w:t xml:space="preserve">- от 10 001 до 20 000</w:t>
      </w:r>
      <w:r>
        <w:rPr>
          <w:rFonts w:ascii="Arial" w:cs="Arial" w:eastAsia="Arial" w:hAnsi="Arial"/>
          <w:sz w:val="24"/>
          <w:szCs w:val="24"/>
        </w:rPr>
        <w:t xml:space="preserve">	</w:t>
      </w:r>
      <w:r>
        <w:rPr>
          <w:rFonts w:ascii="Arial" w:cs="Arial" w:eastAsia="Arial" w:hAnsi="Arial"/>
          <w:sz w:val="20"/>
          <w:szCs w:val="20"/>
        </w:rPr>
        <w:t xml:space="preserve">100</w:t>
      </w:r>
    </w:p>
    <w:p>
      <w:pPr>
        <w:tabs>
          <w:tab w:val="right" w:pos="10178"/>
        </w:tabs>
        <w:spacing w:after="120"/>
      </w:pPr>
      <w:r>
        <w:rPr>
          <w:rFonts w:ascii="Arial" w:cs="Arial" w:eastAsia="Arial" w:hAnsi="Arial"/>
          <w:sz w:val="20"/>
          <w:szCs w:val="20"/>
        </w:rPr>
        <w:t xml:space="preserve">- от 20 001 до 30 000</w:t>
      </w:r>
      <w:r>
        <w:rPr>
          <w:rFonts w:ascii="Arial" w:cs="Arial" w:eastAsia="Arial" w:hAnsi="Arial"/>
          <w:sz w:val="24"/>
          <w:szCs w:val="24"/>
        </w:rPr>
        <w:t xml:space="preserve">	</w:t>
      </w:r>
      <w:r>
        <w:rPr>
          <w:rFonts w:ascii="Arial" w:cs="Arial" w:eastAsia="Arial" w:hAnsi="Arial"/>
          <w:sz w:val="20"/>
          <w:szCs w:val="20"/>
        </w:rPr>
        <w:t xml:space="preserve">150</w:t>
      </w:r>
    </w:p>
    <w:p>
      <w:pPr>
        <w:tabs>
          <w:tab w:val="right" w:pos="10178"/>
        </w:tabs>
        <w:spacing w:after="120"/>
      </w:pPr>
      <w:r>
        <w:rPr>
          <w:rFonts w:ascii="Arial" w:cs="Arial" w:eastAsia="Arial" w:hAnsi="Arial"/>
          <w:sz w:val="20"/>
          <w:szCs w:val="20"/>
        </w:rPr>
        <w:t xml:space="preserve">- свыше </w:t>
      </w:r>
      <w:r>
        <w:rPr>
          <w:rFonts w:ascii="Arial" w:cs="Arial" w:eastAsia="Arial" w:hAnsi="Arial"/>
          <w:sz w:val="20"/>
          <w:szCs w:val="20"/>
        </w:rPr>
        <w:t xml:space="preserve">3</w:t>
      </w:r>
      <w:r>
        <w:rPr>
          <w:rFonts w:ascii="Arial" w:cs="Arial" w:eastAsia="Arial" w:hAnsi="Arial"/>
          <w:sz w:val="20"/>
          <w:szCs w:val="20"/>
        </w:rPr>
        <w:t xml:space="preserve">000</w:t>
      </w:r>
      <w:r>
        <w:rPr>
          <w:rFonts w:ascii="Arial" w:cs="Arial" w:eastAsia="Arial" w:hAnsi="Arial"/>
          <w:sz w:val="20"/>
          <w:szCs w:val="20"/>
        </w:rPr>
        <w:t xml:space="preserve">1 </w:t>
      </w:r>
      <w:r>
        <w:rPr>
          <w:rFonts w:ascii="Arial" w:cs="Arial" w:eastAsia="Arial" w:hAnsi="Arial"/>
          <w:sz w:val="24"/>
          <w:szCs w:val="24"/>
        </w:rPr>
        <w:t xml:space="preserve">	</w:t>
      </w:r>
      <w:r>
        <w:rPr>
          <w:rFonts w:ascii="Arial" w:cs="Arial" w:eastAsia="Arial" w:hAnsi="Arial"/>
          <w:sz w:val="20"/>
          <w:szCs w:val="20"/>
        </w:rPr>
        <w:t xml:space="preserve">200</w:t>
      </w:r>
    </w:p>
    <w:p>
      <w:pPr>
        <w:tabs>
          <w:tab w:val="right" w:pos="10178"/>
        </w:tabs>
        <w:spacing w:after="120"/>
      </w:pPr>
      <w:r>
        <w:rPr>
          <w:rFonts w:ascii="Arial" w:cs="Arial" w:eastAsia="Arial" w:hAnsi="Arial"/>
          <w:sz w:val="20"/>
          <w:szCs w:val="20"/>
        </w:rPr>
        <w:t xml:space="preserve">- город Ош</w:t>
      </w:r>
      <w:r>
        <w:rPr>
          <w:rFonts w:ascii="Arial" w:cs="Arial" w:eastAsia="Arial" w:hAnsi="Arial"/>
          <w:sz w:val="24"/>
          <w:szCs w:val="24"/>
        </w:rPr>
        <w:t xml:space="preserve">	</w:t>
      </w:r>
      <w:r>
        <w:rPr>
          <w:rFonts w:ascii="Arial" w:cs="Arial" w:eastAsia="Arial" w:hAnsi="Arial"/>
          <w:sz w:val="20"/>
          <w:szCs w:val="20"/>
        </w:rPr>
        <w:t xml:space="preserve">500</w:t>
      </w:r>
    </w:p>
    <w:p>
      <w:pPr>
        <w:tabs>
          <w:tab w:val="right" w:pos="10178"/>
        </w:tabs>
        <w:spacing w:after="120"/>
      </w:pPr>
      <w:r>
        <w:rPr>
          <w:rFonts w:ascii="Arial" w:cs="Arial" w:eastAsia="Arial" w:hAnsi="Arial"/>
          <w:sz w:val="20"/>
          <w:szCs w:val="20"/>
        </w:rPr>
        <w:t xml:space="preserve">- город Бишкек</w:t>
      </w:r>
      <w:r>
        <w:rPr>
          <w:rFonts w:ascii="Arial" w:cs="Arial" w:eastAsia="Arial" w:hAnsi="Arial"/>
          <w:sz w:val="24"/>
          <w:szCs w:val="24"/>
        </w:rPr>
        <w:t xml:space="preserve">	</w:t>
      </w:r>
      <w:r>
        <w:rPr>
          <w:rFonts w:ascii="Arial" w:cs="Arial" w:eastAsia="Arial" w:hAnsi="Arial"/>
          <w:sz w:val="20"/>
          <w:szCs w:val="20"/>
        </w:rPr>
        <w:t xml:space="preserve">800</w:t>
      </w:r>
      <w:r>
        <w:rPr>
          <w:rFonts w:ascii="Arial" w:cs="Arial" w:eastAsia="Arial" w:hAnsi="Arial"/>
          <w:sz w:val="20"/>
          <w:szCs w:val="20"/>
        </w:rPr>
        <w:t xml:space="preserve">.</w:t>
      </w:r>
      <w:r>
        <w:rPr>
          <w:rFonts w:ascii="Arial" w:cs="Arial" w:eastAsia="Arial" w:hAnsi="Arial"/>
          <w:sz w:val="20"/>
          <w:szCs w:val="20"/>
        </w:rPr>
        <w:t xml:space="preserve">"</w:t>
      </w:r>
      <w:r>
        <w:rPr>
          <w:rFonts w:ascii="Arial" w:cs="Arial" w:eastAsia="Arial" w:hAnsi="Arial"/>
          <w:sz w:val="20"/>
          <w:szCs w:val="20"/>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14. По итогам проведенных сельских сходов и собраний комиссия по организации и проведению народного курултая выносит решение о достоверности полномочий избранных делегатов на рассмотрение соответствующего кенеша, который принимает решение о выдаче избранному делегату мандата, удостоверяющего его полномочия на </w:t>
      </w:r>
      <w:r>
        <w:rPr>
          <w:rFonts w:ascii="Arial" w:cs="Arial" w:eastAsia="Arial" w:hAnsi="Arial"/>
          <w:sz w:val="20"/>
          <w:szCs w:val="20"/>
        </w:rPr>
        <w:t xml:space="preserve">один</w:t>
      </w:r>
      <w:r>
        <w:rPr>
          <w:rFonts w:ascii="Arial" w:cs="Arial" w:eastAsia="Arial" w:hAnsi="Arial"/>
          <w:sz w:val="20"/>
          <w:szCs w:val="20"/>
        </w:rPr>
        <w:t xml:space="preserve"> год.</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cn41qzwx1qfh8hlbu6t1t">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8 сен</w:t>
        </w:r>
        <w:r>
          <w:rPr>
            <w:rFonts w:ascii="Arial" w:cs="Arial" w:eastAsia="Arial" w:hAnsi="Arial"/>
            <w:i/>
            <w:iCs/>
            <w:color w:val="1D4ED8"/>
            <w:sz w:val="24"/>
            <w:szCs w:val="24"/>
            <w:u w:val="single"/>
          </w:rPr>
          <w:t xml:space="preserve">тября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УП № </w:t>
        </w:r>
        <w:r>
          <w:rPr>
            <w:rFonts w:ascii="Arial" w:cs="Arial" w:eastAsia="Arial" w:hAnsi="Arial"/>
            <w:i/>
            <w:iCs/>
            <w:color w:val="1D4ED8"/>
            <w:sz w:val="24"/>
            <w:szCs w:val="24"/>
            <w:u w:val="single"/>
          </w:rPr>
          <w:t xml:space="preserve">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0"/>
          <w:szCs w:val="20"/>
        </w:rPr>
        <w:t xml:space="preserve">15. При досрочном выбытии делегата по каким-либо причинам комиссия по организации и проведению народного курултая организует выборы нового делегата на сходе жителей только той территории, откуда был избран выбывший делегат.</w:t>
      </w:r>
    </w:p>
    <w:p>
      <w:pPr>
        <w:spacing w:after="200" w:before="200"/>
        <w:jc w:val="center"/>
      </w:pPr>
      <w:r>
        <w:rPr>
          <w:rFonts w:ascii="Arial" w:cs="Arial" w:eastAsia="Arial" w:hAnsi="Arial"/>
          <w:b/>
          <w:bCs/>
          <w:sz w:val="24"/>
          <w:szCs w:val="24"/>
        </w:rPr>
        <w:t xml:space="preserve">V. Организация работы народного курултая</w:t>
      </w:r>
    </w:p>
    <w:p>
      <w:pPr>
        <w:spacing w:after="60"/>
        <w:ind w:firstLine="567"/>
        <w:jc w:val="both"/>
      </w:pPr>
      <w:r>
        <w:rPr>
          <w:rFonts w:ascii="Arial" w:cs="Arial" w:eastAsia="Arial" w:hAnsi="Arial"/>
          <w:sz w:val="20"/>
          <w:szCs w:val="20"/>
        </w:rPr>
        <w:t xml:space="preserve">16. Работа каждого народного курултая проводится в торжественно-деловой обстановке, с обязательным исполнением Гимна Кыргызской Республики при открытии и закрытии народного курултая, формированием рабочих органов курултая - президиума, секретариата и счетной комиссии для подсчета голосов делегатов при принятии решений.</w:t>
      </w:r>
    </w:p>
    <w:p>
      <w:pPr>
        <w:spacing w:after="60"/>
        <w:ind w:firstLine="567"/>
        <w:jc w:val="both"/>
      </w:pPr>
      <w:r>
        <w:rPr>
          <w:rFonts w:ascii="Arial" w:cs="Arial" w:eastAsia="Arial" w:hAnsi="Arial"/>
          <w:sz w:val="20"/>
          <w:szCs w:val="20"/>
        </w:rPr>
        <w:t xml:space="preserve">Народный курултай вправе начать свою работу, если на нем присутствует не менее 2/3 избранных делегатов.</w:t>
      </w:r>
    </w:p>
    <w:p>
      <w:pPr>
        <w:spacing w:after="60"/>
        <w:ind w:firstLine="567"/>
        <w:jc w:val="both"/>
      </w:pPr>
      <w:r>
        <w:rPr>
          <w:rFonts w:ascii="Arial" w:cs="Arial" w:eastAsia="Arial" w:hAnsi="Arial"/>
          <w:sz w:val="20"/>
          <w:szCs w:val="20"/>
        </w:rPr>
        <w:t xml:space="preserve">17. Перед началом первого организационного курултая каждому избранному делегату обязательно должен быть вручен мандат, удостоверяющий его полномочия.</w:t>
      </w:r>
    </w:p>
    <w:p>
      <w:pPr>
        <w:spacing w:after="60"/>
        <w:ind w:firstLine="567"/>
        <w:jc w:val="both"/>
      </w:pPr>
      <w:r>
        <w:rPr>
          <w:rFonts w:ascii="Arial" w:cs="Arial" w:eastAsia="Arial" w:hAnsi="Arial"/>
          <w:sz w:val="20"/>
          <w:szCs w:val="20"/>
        </w:rPr>
        <w:t xml:space="preserve">Участие делегата в работе последующих курултаев возможно только при наличии мандата.</w:t>
      </w:r>
    </w:p>
    <w:p>
      <w:pPr>
        <w:spacing w:after="60"/>
        <w:ind w:firstLine="567"/>
        <w:jc w:val="both"/>
      </w:pPr>
      <w:r>
        <w:rPr>
          <w:rFonts w:ascii="Arial" w:cs="Arial" w:eastAsia="Arial" w:hAnsi="Arial"/>
          <w:sz w:val="20"/>
          <w:szCs w:val="20"/>
        </w:rPr>
        <w:t xml:space="preserve">18. Депутаты местных кенешей всех уровней, а также главы местного самоуправления и местных государственных администраций участвуют в работе курултая соответствующего уровня и пользуются правом делегата, для чего им также вручаются мандаты делегата народного курултая.</w:t>
      </w:r>
    </w:p>
    <w:p>
      <w:pPr>
        <w:spacing w:after="60"/>
        <w:ind w:firstLine="567"/>
        <w:jc w:val="both"/>
      </w:pPr>
      <w:r>
        <w:rPr>
          <w:rFonts w:ascii="Arial" w:cs="Arial" w:eastAsia="Arial" w:hAnsi="Arial"/>
          <w:sz w:val="20"/>
          <w:szCs w:val="20"/>
        </w:rPr>
        <w:t xml:space="preserve">19. </w:t>
      </w:r>
      <w:r>
        <w:rPr>
          <w:rFonts w:ascii="Arial" w:cs="Arial" w:eastAsia="Arial" w:hAnsi="Arial"/>
          <w:sz w:val="20"/>
          <w:szCs w:val="20"/>
        </w:rPr>
        <w:t xml:space="preserve">“</w:t>
      </w:r>
      <w:r>
        <w:rPr>
          <w:rFonts w:ascii="Arial" w:cs="Arial" w:eastAsia="Arial" w:hAnsi="Arial"/>
          <w:sz w:val="20"/>
          <w:szCs w:val="20"/>
        </w:rPr>
        <w:t xml:space="preserve">Народный курултай представителей местного сообщества открывает</w:t>
      </w:r>
      <w:r>
        <w:rPr>
          <w:rFonts w:ascii="Arial" w:cs="Arial" w:eastAsia="Arial" w:hAnsi="Arial"/>
          <w:sz w:val="20"/>
          <w:szCs w:val="20"/>
        </w:rPr>
        <w:t xml:space="preserve"> торага местного кенеша </w:t>
      </w:r>
      <w:r>
        <w:rPr>
          <w:rFonts w:ascii="Arial" w:cs="Arial" w:eastAsia="Arial" w:hAnsi="Arial"/>
          <w:sz w:val="20"/>
          <w:szCs w:val="20"/>
        </w:rPr>
        <w:t xml:space="preserve">соответствующей территории</w:t>
      </w:r>
      <w:r>
        <w:rPr>
          <w:rFonts w:ascii="Arial" w:cs="Arial" w:eastAsia="Arial" w:hAnsi="Arial"/>
          <w:sz w:val="20"/>
          <w:szCs w:val="20"/>
        </w:rPr>
        <w:t xml:space="preserve">”</w:t>
      </w:r>
      <w:r>
        <w:rPr>
          <w:rFonts w:ascii="Arial" w:cs="Arial" w:eastAsia="Arial" w:hAnsi="Arial"/>
          <w:sz w:val="20"/>
          <w:szCs w:val="20"/>
        </w:rPr>
        <w:t xml:space="preserve">,</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oxsfoblsdikc7xnxtqfi8">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8 сен</w:t>
        </w:r>
        <w:r>
          <w:rPr>
            <w:rFonts w:ascii="Arial" w:cs="Arial" w:eastAsia="Arial" w:hAnsi="Arial"/>
            <w:i/>
            <w:iCs/>
            <w:color w:val="1D4ED8"/>
            <w:sz w:val="24"/>
            <w:szCs w:val="24"/>
            <w:u w:val="single"/>
          </w:rPr>
          <w:t xml:space="preserve">тября 202</w:t>
        </w:r>
        <w:r>
          <w:rPr>
            <w:rFonts w:ascii="Arial" w:cs="Arial" w:eastAsia="Arial" w:hAnsi="Arial"/>
            <w:i/>
            <w:iCs/>
            <w:color w:val="1D4ED8"/>
            <w:sz w:val="24"/>
            <w:szCs w:val="24"/>
            <w:u w:val="single"/>
          </w:rPr>
          <w:t xml:space="preserve">2</w:t>
        </w:r>
        <w:r>
          <w:rPr>
            <w:rFonts w:ascii="Arial" w:cs="Arial" w:eastAsia="Arial" w:hAnsi="Arial"/>
            <w:i/>
            <w:iCs/>
            <w:color w:val="1D4ED8"/>
            <w:sz w:val="24"/>
            <w:szCs w:val="24"/>
            <w:u w:val="single"/>
          </w:rPr>
          <w:t xml:space="preserve"> года УП № </w:t>
        </w:r>
        <w:r>
          <w:rPr>
            <w:rFonts w:ascii="Arial" w:cs="Arial" w:eastAsia="Arial" w:hAnsi="Arial"/>
            <w:i/>
            <w:iCs/>
            <w:color w:val="1D4ED8"/>
            <w:sz w:val="24"/>
            <w:szCs w:val="24"/>
            <w:u w:val="single"/>
          </w:rPr>
          <w:t xml:space="preserve">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0"/>
          <w:szCs w:val="20"/>
        </w:rPr>
        <w:t xml:space="preserve">20. Народный курултай, как правило, проводится гласно, в открытой обстановке, с приглашением представителей общественности и средств массовой информации.</w:t>
      </w:r>
    </w:p>
    <w:p>
      <w:pPr>
        <w:spacing w:after="60"/>
        <w:ind w:firstLine="567"/>
        <w:jc w:val="both"/>
      </w:pPr>
      <w:r>
        <w:rPr>
          <w:rFonts w:ascii="Arial" w:cs="Arial" w:eastAsia="Arial" w:hAnsi="Arial"/>
          <w:sz w:val="20"/>
          <w:szCs w:val="20"/>
        </w:rPr>
        <w:t xml:space="preserve">В исключительных случаях народный курултай вправе, большинством голосов от своего состава принять решение об обсуждении отдельных вопросов в закрытой обстановке.</w:t>
      </w:r>
    </w:p>
    <w:p>
      <w:pPr>
        <w:spacing w:after="60"/>
        <w:ind w:firstLine="567"/>
        <w:jc w:val="both"/>
      </w:pPr>
      <w:r>
        <w:rPr>
          <w:rFonts w:ascii="Arial" w:cs="Arial" w:eastAsia="Arial" w:hAnsi="Arial"/>
          <w:sz w:val="20"/>
          <w:szCs w:val="20"/>
        </w:rPr>
        <w:t xml:space="preserve">21. Решения народного курултая принимаются, как правило, путем открытого голосования простым большинством голосов делегатов, присутствующих на курултае. Подсчет голосов делегатов производится счетной комиссией, сформированной самим курултаем.</w:t>
      </w:r>
    </w:p>
    <w:p>
      <w:pPr>
        <w:spacing w:after="60"/>
        <w:ind w:firstLine="567"/>
        <w:jc w:val="both"/>
      </w:pPr>
      <w:r>
        <w:rPr>
          <w:rFonts w:ascii="Arial" w:cs="Arial" w:eastAsia="Arial" w:hAnsi="Arial"/>
          <w:sz w:val="20"/>
          <w:szCs w:val="20"/>
        </w:rPr>
        <w:t xml:space="preserve">При поступлении предложения о выражении недоверия главе местного самоуправления села, поселка или города, а также главе местной государственной администрации, поддержанного не менее 25 процентами присутствующих на курултае делегатов, решение народного курултая о выражении недоверия главе местной исполнительной власти принимается двумя третями голосов всех делегатов, избранных на курултай.</w:t>
      </w:r>
    </w:p>
    <w:p>
      <w:pPr>
        <w:spacing w:after="60"/>
        <w:ind w:firstLine="567"/>
        <w:jc w:val="both"/>
      </w:pPr>
      <w:r>
        <w:rPr>
          <w:rFonts w:ascii="Arial" w:cs="Arial" w:eastAsia="Arial" w:hAnsi="Arial"/>
          <w:sz w:val="20"/>
          <w:szCs w:val="20"/>
        </w:rPr>
        <w:t xml:space="preserve">Такой же механизм принятия решения применяется и при поступлении предложения о продлении срока полномочий главы соответствующей местной исполнительной власти на следующий срок.</w:t>
      </w:r>
    </w:p>
    <w:p>
      <w:pPr>
        <w:spacing w:after="60"/>
        <w:ind w:firstLine="567"/>
        <w:jc w:val="both"/>
      </w:pPr>
      <w:r>
        <w:rPr>
          <w:rFonts w:ascii="Arial" w:cs="Arial" w:eastAsia="Arial" w:hAnsi="Arial"/>
          <w:sz w:val="20"/>
          <w:szCs w:val="20"/>
        </w:rPr>
        <w:t xml:space="preserve">22. Каждый делегат народного курултая имеет один голос.</w:t>
      </w:r>
    </w:p>
    <w:p>
      <w:pPr>
        <w:spacing w:after="60"/>
        <w:ind w:firstLine="567"/>
        <w:jc w:val="both"/>
      </w:pPr>
      <w:r>
        <w:rPr>
          <w:rFonts w:ascii="Arial" w:cs="Arial" w:eastAsia="Arial" w:hAnsi="Arial"/>
          <w:sz w:val="20"/>
          <w:szCs w:val="20"/>
        </w:rPr>
        <w:t xml:space="preserve">При принятии решения народным курултаем провести тайное голосование должны быть подготовлены кабины, печать, урны, бюллетени и т.д.</w:t>
      </w:r>
    </w:p>
    <w:p>
      <w:pPr>
        <w:spacing w:after="60"/>
        <w:ind w:firstLine="567"/>
        <w:jc w:val="both"/>
      </w:pPr>
      <w:r>
        <w:rPr>
          <w:rFonts w:ascii="Arial" w:cs="Arial" w:eastAsia="Arial" w:hAnsi="Arial"/>
          <w:sz w:val="20"/>
          <w:szCs w:val="20"/>
        </w:rPr>
        <w:t xml:space="preserve">23. Народный курултай проводится с ведением протокола на государственном или на официальном языке.</w:t>
      </w:r>
    </w:p>
    <w:p>
      <w:pPr>
        <w:spacing w:after="60"/>
        <w:ind w:firstLine="567"/>
        <w:jc w:val="both"/>
      </w:pPr>
      <w:r>
        <w:rPr>
          <w:rFonts w:ascii="Arial" w:cs="Arial" w:eastAsia="Arial" w:hAnsi="Arial"/>
          <w:sz w:val="20"/>
          <w:szCs w:val="20"/>
        </w:rPr>
        <w:t xml:space="preserve">24. Повестка дня курултая, время и место его проведения сообщаются членам сообщества через средства массовой информации, органы территориального общественного самоуправления, сельских старост и использованием иных возможностей не менее чем за 10 дней до начала народного курултая.</w:t>
      </w:r>
    </w:p>
    <w:p>
      <w:pPr>
        <w:spacing w:after="60"/>
        <w:ind w:firstLine="567"/>
        <w:jc w:val="both"/>
      </w:pPr>
      <w:r>
        <w:rPr>
          <w:rFonts w:ascii="Arial" w:cs="Arial" w:eastAsia="Arial" w:hAnsi="Arial"/>
          <w:sz w:val="20"/>
          <w:szCs w:val="20"/>
        </w:rPr>
        <w:t xml:space="preserve">25. Народный курултай проводится не реже одного раза в два года.</w:t>
      </w:r>
    </w:p>
    <w:p>
      <w:pPr>
        <w:spacing w:after="60"/>
        <w:ind w:firstLine="567"/>
        <w:jc w:val="both"/>
      </w:pPr>
      <w:r>
        <w:rPr>
          <w:rFonts w:ascii="Arial" w:cs="Arial" w:eastAsia="Arial" w:hAnsi="Arial"/>
          <w:sz w:val="20"/>
          <w:szCs w:val="20"/>
        </w:rPr>
        <w:t xml:space="preserve">Внеочередной народный курултай может созываться, в случае возникновения необходимости, соответствующим местным кенешем или по инициативе главы местного самоуправления и местной государственной администрации, поддержанной решением соответствующего кенеша, а также в случае, если созыв народного курултая письменно потребовали 1/3 делегатов курултая. При созыве внеочередного курултая срок объявления и подготовки курултая может быть сокращен до 3 дней.</w:t>
      </w:r>
    </w:p>
    <w:p>
      <w:pPr>
        <w:spacing w:after="200" w:before="200"/>
        <w:jc w:val="center"/>
      </w:pPr>
      <w:r>
        <w:rPr>
          <w:rFonts w:ascii="Arial" w:cs="Arial" w:eastAsia="Arial" w:hAnsi="Arial"/>
          <w:b/>
          <w:bCs/>
          <w:sz w:val="24"/>
          <w:szCs w:val="24"/>
        </w:rPr>
        <w:t xml:space="preserve">VII. Заключительная глава</w:t>
      </w:r>
    </w:p>
    <w:p>
      <w:pPr>
        <w:spacing w:after="60"/>
        <w:ind w:firstLine="567"/>
        <w:jc w:val="both"/>
      </w:pPr>
      <w:r>
        <w:rPr>
          <w:rFonts w:ascii="Arial" w:cs="Arial" w:eastAsia="Arial" w:hAnsi="Arial"/>
          <w:sz w:val="20"/>
          <w:szCs w:val="20"/>
        </w:rPr>
        <w:t xml:space="preserve">26. Организация и проведение народного курултая осуществляется за счет средств местного бюджета.</w:t>
      </w:r>
    </w:p>
    <w:p>
      <w:pPr>
        <w:spacing w:after="60"/>
        <w:ind w:firstLine="567"/>
        <w:jc w:val="both"/>
      </w:pPr>
      <w:r>
        <w:rPr>
          <w:rFonts w:ascii="Arial" w:cs="Arial" w:eastAsia="Arial" w:hAnsi="Arial"/>
          <w:sz w:val="20"/>
          <w:szCs w:val="20"/>
        </w:rPr>
        <w:t xml:space="preserve">27. Решение, принятое народным курултаем, затрагивающее исключительные полномочия местного кенеша, если законодательством не предусмотрено иное, вступает в силу после утверждения его соответствующим кенешем. Остальные решения народного курултая вступают в силу со дня их опубликования.</w:t>
      </w:r>
    </w:p>
    <w:p>
      <w:pPr>
        <w:spacing w:after="60"/>
        <w:ind w:firstLine="567"/>
        <w:jc w:val="both"/>
      </w:pPr>
      <w:r>
        <w:rPr>
          <w:rFonts w:ascii="Arial" w:cs="Arial" w:eastAsia="Arial" w:hAnsi="Arial"/>
          <w:sz w:val="20"/>
          <w:szCs w:val="20"/>
        </w:rPr>
        <w:t xml:space="preserve">28. Решения, протоколы и другие документы народного курултая хранятся в местных кенешах в течение 5 лет, по истечении установленного срока они сдаются в архив.</w:t>
      </w:r>
    </w:p>
    <w:p>
      <w:pPr>
        <w:spacing w:after="60"/>
        <w:ind w:firstLine="567"/>
        <w:jc w:val="both"/>
      </w:pPr>
      <w:r>
        <w:rPr>
          <w:rFonts w:ascii="Arial" w:cs="Arial" w:eastAsia="Arial" w:hAnsi="Arial"/>
          <w:sz w:val="20"/>
          <w:szCs w:val="20"/>
        </w:rPr>
        <w:t xml:space="preserve">29. Решения народного курултая, противоречащее законодательству республики, могут быть обжалованы в суде. До принятия решения суда решение народного курултая приостанавливается главой местной государственной администрации области - губернатором.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cpoobuo3wqtvv7riemrl">
      <w:r>
        <w:rPr>
          <w:rFonts w:ascii="Arial" w:cs="Arial" w:eastAsia="Arial" w:hAnsi="Arial"/>
          <w:color w:val="132D3F"/>
          <w:sz w:val="16"/>
          <w:szCs w:val="16"/>
          <w:u w:val="single"/>
        </w:rPr>
        <w:t xml:space="preserve">dalil.kg/document/3386</w:t>
      </w:r>
    </w:hyperlink>
  </w:p>
  <w:p>
    <w:pPr>
      <w:spacing w:after="0" w:before="40"/>
      <w:jc w:val="center"/>
    </w:pPr>
    <w:hyperlink w:history="1" r:id="rIdfk6rjgziuak_e4--plaj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hu0cv2x2qvwwkmgxjofz" Type="http://schemas.openxmlformats.org/officeDocument/2006/relationships/hyperlink" Target="https://dalil.kg/document/2152" TargetMode="External"/><Relationship Id="rIdttim8qu7j7nymarmc5yvg" Type="http://schemas.openxmlformats.org/officeDocument/2006/relationships/hyperlink" Target="https://dalil.kg/document/230036124" TargetMode="External"/><Relationship Id="rId-lqbmo_6d__wk9jshvdve" Type="http://schemas.openxmlformats.org/officeDocument/2006/relationships/hyperlink" Target="https://dalil.kg/document/434813" TargetMode="External"/><Relationship Id="rId6ovj7bhqplr_oayxxhzyl" Type="http://schemas.openxmlformats.org/officeDocument/2006/relationships/hyperlink" Target="https://dalil.kg/document/434813" TargetMode="External"/><Relationship Id="rIdxkanqo2hyu_v_f2hzv7b5" Type="http://schemas.openxmlformats.org/officeDocument/2006/relationships/hyperlink" Target="https://dalil.kg/document/434813" TargetMode="External"/><Relationship Id="rIdcn41qzwx1qfh8hlbu6t1t" Type="http://schemas.openxmlformats.org/officeDocument/2006/relationships/hyperlink" Target="https://dalil.kg/document/434813" TargetMode="External"/><Relationship Id="rIdoxsfoblsdikc7xnxtqfi8" Type="http://schemas.openxmlformats.org/officeDocument/2006/relationships/hyperlink" Target="https://dalil.kg/document/43481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cpoobuo3wqtvv7riemrl" Type="http://schemas.openxmlformats.org/officeDocument/2006/relationships/hyperlink" Target="https://dalil.kg/document/3386" TargetMode="External"/><Relationship Id="rIdfk6rjgziuak_e4--plaj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2026-09-25T11:01:33.536Z</dcterms:created>
  <dcterms:modified xsi:type="dcterms:W3CDTF">2026-09-25T11:01:33.536Z</dcterms:modified>
</cp:coreProperties>
</file>

<file path=docProps/custom.xml><?xml version="1.0" encoding="utf-8"?>
<Properties xmlns="http://schemas.openxmlformats.org/officeDocument/2006/custom-properties" xmlns:vt="http://schemas.openxmlformats.org/officeDocument/2006/docPropsVTypes"/>
</file>