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СИЛУв соответствии с </w:t>
      </w:r>
      <w:hyperlink w:history="1" r:id="rIdkygmmjrvvpncaz4g5u8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2004 года №976                              Утверждены                     </w:t>
      </w:r>
      <w:hyperlink w:history="1" r:id="rIduusnf3pmakrp42pwc2k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1997 года N 347                                 ПРАВИЛА                перемещения физическими лицами товаров               и иных предметов через таможенную границу                         Кыргызской Республики              (В редакции постановлений Правительства КР от         </w:t>
      </w:r>
      <w:hyperlink w:history="1" r:id="rIdrstvn4dbyr39hn-yeoz5o">
        <w:r>
          <w:rPr>
            <w:rFonts w:ascii="Arial" w:cs="Arial" w:eastAsia="Arial" w:hAnsi="Arial"/>
            <w:color w:val="1D4ED8"/>
            <w:sz w:val="24"/>
            <w:szCs w:val="24"/>
            <w:u w:val="single"/>
          </w:rPr>
          <w:t xml:space="preserve">22 сентября 1997 года N 550</w:t>
        </w:r>
      </w:hyperlink>
      <w:r>
        <w:rPr>
          <w:rFonts w:ascii="Arial" w:cs="Arial" w:eastAsia="Arial" w:hAnsi="Arial"/>
          <w:sz w:val="24"/>
          <w:szCs w:val="24"/>
        </w:rPr>
        <w:t xml:space="preserve">, </w:t>
      </w:r>
      <w:hyperlink w:history="1" r:id="rIdbhppdirzlzfugsypoqs7a">
        <w:r>
          <w:rPr>
            <w:rFonts w:ascii="Arial" w:cs="Arial" w:eastAsia="Arial" w:hAnsi="Arial"/>
            <w:color w:val="1D4ED8"/>
            <w:sz w:val="24"/>
            <w:szCs w:val="24"/>
            <w:u w:val="single"/>
          </w:rPr>
          <w:t xml:space="preserve">28 июля 1998 года N 506</w:t>
        </w:r>
      </w:hyperlink>
      <w:r>
        <w:rPr>
          <w:rFonts w:ascii="Arial" w:cs="Arial" w:eastAsia="Arial" w:hAnsi="Arial"/>
          <w:sz w:val="24"/>
          <w:szCs w:val="24"/>
        </w:rPr>
        <w:t xml:space="preserve">,          </w:t>
      </w:r>
      <w:hyperlink w:history="1" r:id="rIdciygk1w-tuoq8vqschaey">
        <w:r>
          <w:rPr>
            <w:rFonts w:ascii="Arial" w:cs="Arial" w:eastAsia="Arial" w:hAnsi="Arial"/>
            <w:color w:val="1D4ED8"/>
            <w:sz w:val="24"/>
            <w:szCs w:val="24"/>
            <w:u w:val="single"/>
          </w:rPr>
          <w:t xml:space="preserve">11 мая 1999 года N 252</w:t>
        </w:r>
      </w:hyperlink>
      <w:r>
        <w:rPr>
          <w:rFonts w:ascii="Arial" w:cs="Arial" w:eastAsia="Arial" w:hAnsi="Arial"/>
          <w:sz w:val="24"/>
          <w:szCs w:val="24"/>
        </w:rPr>
        <w:t xml:space="preserve">, </w:t>
      </w:r>
      <w:hyperlink w:history="1" r:id="rId5m7u1ok6_aqzejmniibmn">
        <w:r>
          <w:rPr>
            <w:rFonts w:ascii="Arial" w:cs="Arial" w:eastAsia="Arial" w:hAnsi="Arial"/>
            <w:color w:val="1D4ED8"/>
            <w:sz w:val="24"/>
            <w:szCs w:val="24"/>
            <w:u w:val="single"/>
          </w:rPr>
          <w:t xml:space="preserve">30 декабря 1999 года N 733</w:t>
        </w:r>
      </w:hyperlink>
      <w:r>
        <w:rPr>
          <w:rFonts w:ascii="Arial" w:cs="Arial" w:eastAsia="Arial" w:hAnsi="Arial"/>
          <w:sz w:val="24"/>
          <w:szCs w:val="24"/>
        </w:rPr>
        <w:t xml:space="preserve">,          </w:t>
      </w:r>
      <w:hyperlink w:history="1" r:id="rIdruv5tdles6qtslkuudfne">
        <w:r>
          <w:rPr>
            <w:rFonts w:ascii="Arial" w:cs="Arial" w:eastAsia="Arial" w:hAnsi="Arial"/>
            <w:color w:val="1D4ED8"/>
            <w:sz w:val="24"/>
            <w:szCs w:val="24"/>
            <w:u w:val="single"/>
          </w:rPr>
          <w:t xml:space="preserve">24 июля 2000 года N 440</w:t>
        </w:r>
      </w:hyperlink>
      <w:r>
        <w:rPr>
          <w:rFonts w:ascii="Arial" w:cs="Arial" w:eastAsia="Arial" w:hAnsi="Arial"/>
          <w:sz w:val="24"/>
          <w:szCs w:val="24"/>
        </w:rPr>
        <w:t xml:space="preserve">, </w:t>
      </w:r>
      <w:hyperlink w:history="1" r:id="rIdy2xv2uyxcy672ud8akv3g">
        <w:r>
          <w:rPr>
            <w:rFonts w:ascii="Arial" w:cs="Arial" w:eastAsia="Arial" w:hAnsi="Arial"/>
            <w:color w:val="1D4ED8"/>
            <w:sz w:val="24"/>
            <w:szCs w:val="24"/>
            <w:u w:val="single"/>
          </w:rPr>
          <w:t xml:space="preserve">9 февраля 2001 года N 41</w:t>
        </w:r>
      </w:hyperlink>
      <w:r>
        <w:rPr>
          <w:rFonts w:ascii="Arial" w:cs="Arial" w:eastAsia="Arial" w:hAnsi="Arial"/>
          <w:sz w:val="24"/>
          <w:szCs w:val="24"/>
        </w:rPr>
        <w:t xml:space="preserve">,       </w:t>
      </w:r>
      <w:hyperlink w:history="1" r:id="rIdlatdz8l2mx-tquokq6nck">
        <w:r>
          <w:rPr>
            <w:rFonts w:ascii="Arial" w:cs="Arial" w:eastAsia="Arial" w:hAnsi="Arial"/>
            <w:color w:val="1D4ED8"/>
            <w:sz w:val="24"/>
            <w:szCs w:val="24"/>
            <w:u w:val="single"/>
          </w:rPr>
          <w:t xml:space="preserve">26 апреля 2002 года № 252</w:t>
        </w:r>
      </w:hyperlink>
      <w:r>
        <w:rPr>
          <w:rFonts w:ascii="Arial" w:cs="Arial" w:eastAsia="Arial" w:hAnsi="Arial"/>
          <w:sz w:val="24"/>
          <w:szCs w:val="24"/>
        </w:rPr>
        <w:t xml:space="preserve">,</w:t>
      </w:r>
      <w:hyperlink w:history="1" r:id="rIdonzwgoss8wjlwdu-3ghms">
        <w:r>
          <w:rPr>
            <w:rFonts w:ascii="Arial" w:cs="Arial" w:eastAsia="Arial" w:hAnsi="Arial"/>
            <w:color w:val="1D4ED8"/>
            <w:sz w:val="24"/>
            <w:szCs w:val="24"/>
            <w:u w:val="single"/>
          </w:rPr>
          <w:t xml:space="preserve"> 7 мая 2002 года N 283</w:t>
        </w:r>
      </w:hyperlink>
      <w:r>
        <w:rPr>
          <w:rFonts w:ascii="Arial" w:cs="Arial" w:eastAsia="Arial" w:hAnsi="Arial"/>
          <w:sz w:val="24"/>
          <w:szCs w:val="24"/>
        </w:rPr>
        <w:t xml:space="preserve">,        </w:t>
      </w:r>
      <w:hyperlink w:history="1" r:id="rIdzgis4ps16a5bohjjltd2o">
        <w:r>
          <w:rPr>
            <w:rFonts w:ascii="Arial" w:cs="Arial" w:eastAsia="Arial" w:hAnsi="Arial"/>
            <w:color w:val="1D4ED8"/>
            <w:sz w:val="24"/>
            <w:szCs w:val="24"/>
            <w:u w:val="single"/>
          </w:rPr>
          <w:t xml:space="preserve">25 июля 2002 года № 496</w:t>
        </w:r>
      </w:hyperlink>
      <w:r>
        <w:rPr>
          <w:rFonts w:ascii="Arial" w:cs="Arial" w:eastAsia="Arial" w:hAnsi="Arial"/>
          <w:sz w:val="24"/>
          <w:szCs w:val="24"/>
        </w:rPr>
        <w:t xml:space="preserve">,</w:t>
      </w:r>
      <w:hyperlink w:history="1" r:id="rIdomzcdss83tcu0fnje2qhu">
        <w:r>
          <w:rPr>
            <w:rFonts w:ascii="Arial" w:cs="Arial" w:eastAsia="Arial" w:hAnsi="Arial"/>
            <w:color w:val="1D4ED8"/>
            <w:sz w:val="24"/>
            <w:szCs w:val="24"/>
            <w:u w:val="single"/>
          </w:rPr>
          <w:t xml:space="preserve">30 августа 2002 года № 594</w:t>
        </w:r>
      </w:hyperlink>
      <w:r>
        <w:rPr>
          <w:rFonts w:ascii="Arial" w:cs="Arial" w:eastAsia="Arial" w:hAnsi="Arial"/>
          <w:sz w:val="24"/>
          <w:szCs w:val="24"/>
        </w:rPr>
        <w:t xml:space="preserve"> </w:t>
      </w:r>
      <w:hyperlink w:history="1" r:id="rId3nzfvrhd8bpote2kf8_ls">
        <w:r>
          <w:rPr>
            <w:rFonts w:ascii="Arial" w:cs="Arial" w:eastAsia="Arial" w:hAnsi="Arial"/>
            <w:color w:val="1D4ED8"/>
            <w:sz w:val="24"/>
            <w:szCs w:val="24"/>
            <w:u w:val="single"/>
          </w:rPr>
          <w:t xml:space="preserve">от 12 февраля 2003 года №51</w:t>
        </w:r>
      </w:hyperlink>
      <w:r>
        <w:rPr>
          <w:rFonts w:ascii="Arial" w:cs="Arial" w:eastAsia="Arial" w:hAnsi="Arial"/>
          <w:sz w:val="24"/>
          <w:szCs w:val="24"/>
        </w:rPr>
        <w:t xml:space="preserve">)                           I. Общие положения     1.  Физические  лица  могут  перемещать через  таможенную  границуКыргызской Республики товары и иные предметы,  не предназначенные  дляпроизводственной  или иной коммерческой деятельности,   в  упрощенном,льготном порядке в соответствии с настоящими Правилами.    2.  Упрощенный,  льготный порядок перемещения  физическими  лицамитоваров,    не   предназначенных  для   производственной   или    инойкоммерческой   деятельности,    включает    полное   освобождение   оттаможенных платежей или применение единых ставок таможенных платежей инеприменение   к  товарам мер экономической политики в соответствии  снастоящими Правилами.    3. Физические лица,  следующие через таможенную границу КыргызскойРеспублики,  имеют  право ввозить в республику и вывозить  за  границупринадлежащее им на законном основании имущество.    4. Единые  ставки  таможенных платежей при применении упрощенного,льготного   порядка,   перемещения  применяются   в   соответствии   снастоящими  Правилами  в  отношении  всех категорий товаров независимоот уровня их налогообложения и страны происхождения.    5. Единые  ставки таможенных платежей не включают таможенные сборыза   хранение  товаров,   а  также  таможенные  сборы  за   таможенноеоформление  товаров  вне определенных для этого  мест  и  вне  времениработы таможенных органов.    При   таможенном   оформлении   товаров,   в   отношении   которыхуплачивается   совокупный  платеж,  таможенные  сборы  за   таможенноеоформление являются составной частью такого платежа.                II. Предназначение товаров, перемещаемых              физическими лицами через таможенную границу                         Кыргызской Республики     6. Предназначение  товаров,  перемещаемых физическими лицами черезтаможенную   границу   Кыргызской   Республики,    устанавливается   всоответствии  с  общепринятыми  международными  нормами  и  практикой,исходя  из  количества,  характера и частоты  перемещения  товаров,  сучетом  всех обстоятельств  поездки физического лица и при  отсутствииоснований  полагать, что товары перемещаются через таможенную  границуне   в  целях  личного пользования или потребления физическим лицом  ичленами его семьи.    7.   Товары   рассматриваются   как   не    предназначенные    дляпроизводственной  или  иной  коммерческой  деятельности,   если  такиетовары   ввозятся   (вывозятся)  исключительно  для  пользования   илипотребления  лицом,   перемещающим  товары,  и  членами  его  семьи  ииспользование товаров не связано с извлечением дохода в любой форме.    Использование товаров  в  иных  целях  (отчуждение любым способом,включая   продажу,  использование  для  извлечения  дохода   и   т.д.)допускается  с  разрешения  таможенного  органа  при  условии   уплатытаможенных  платежей  и  выполнения других требований,   установленныхтаможенным законодательством Кыргызской Республики.    8.  При  установлении  предназначения  товаров  должностным  лицомтаможенного органа могут приниматься во внимание следующие факторы:    а) характер товаров: учитываются потребительские свойства товаров,традиционная  практика  их  применения и использования.  Ввоз  (вывоз)товаров,    обычно  не  используемых  в   быту   (например,   грузовыеавтомобили,  станки,  оборудование,  сырье,  полуфабрикаты   и  т.д.),дает  основание  предполагать,  что такие товары ввозятся  (вывозятся)для   коммерческих целей, если лицо, перемещающее товары,  не  докажетобратное;    б) количество товаров:  однородные  товары  (одного  наименования,размера,   фасона,   цвета  и т.д.) дает основание  предполагать,  чтотакие товары ввозятся (вывозятся) с коммерческой целью;    в) частота перемещения товаров: периодический ввоз (вывоз) одним итем  же  лицом  однородных товаров хотя бы и в  небольших  количествахможет  рассматриваться  как то, что товары  ввозятся  (вывозятся)  дляиспользования в коммерческих целях, если лицо не докажет обратное;    г)   обстоятельства  поездки:   учитываются   цель   поездки,   еепродолжительность,   страна пребывания (выезда),  сумма   заработаннойвалюты  и т.д.;    д) отсутствие оснований полагать,  что товары  перемещаются  черезтаможенную  границу  не  в целях личного пользования  или  потребленияфизическим лицом или членами его семьи.    9. Обязанность подтверждения того, что товары не предназначены дляпроизводственной  или иной коммерческой деятельности,  возлагается  налицо, перемещающее товары.                 III. Ввоз товаров физическими лицами на              таможенную территорию Кыргызской Республики     10. Общий порядок и условия тарифного и нетарифного  регулирования(меры   экономической   политики),   налогообложения   и   таможенногооформления  применяются  в  отношении товаров,   ввозимых  физическимилицами, в случаях:    а) если таможенным органом установлено,  что товары  предназначеныдля производственной или иной коммерческой деятельности;    б)  если  общая  стоимость  ввозимых  товаром  или  их  количествопревышает   оговоренные  квоты  и  ограничения,  -  в   части   такогопревышения.    Указанные   товары  подлежат  декларированию  путем  представлениятаможенному органу грузовой таможенной декларации.    11.   Физические  лица  могут  ввозить  товары  (за    исключениемпредметов,  указанных в приложении 1 к настоящим  Правилам)  с  полнымосвобождением от уплаты таможенных платежей,  кроме таможенных  сборовв   случаях,   предусмотренных  пунктом  5  настоящих   Правил,    приодновременном соблюдении следующих условий:    а) ввозимые  товары не предназначены для производственной или инойкоммерческой деятельности;    б)   количество    ввозимых  товаров  не  превышает   ограничений,предусмотренных приложением 2 к настоящим Правилам;    в) стоимость товаров не превышает 500 долларов США, а общий вес 50кг  (ограничение по весу не распространяется на указанные в приложении2  к  настоящим  Правилам мебель,  холодильник,   телевизор  и  другуюбытовую  технику,  муку и зерно продовольственной пшеницы).  Постояннопроживающие   в   Кыргызской   Республике   физические   лица,    срокнепрерывного  пребывания которых  в иностранных государствах превышает6 месяцев,  могут ввозить товары общей стоимостью до 1000 долларов СШАвключительно.    12.  Физические  лица  могут получать с  полным  освобождением  оттаможенных     платежей,    за    исключением    таможенных    сборов,предусмотренных   пунктом   5  настоящих   Правил,    пересылаемые   вмеждународных  почтовых отправлениях товары общей  стоимостью  до  200долларов США включительно.    13.  В  отношении  одного  товара либо  одного  комплекта  товаров(гарнитур, сервиз и т.п.), не предназначенных для производственной илииной коммерческой деятельности:    -  при   превышении  стоимостных ограничений не более  чем  на  20процентов   применяется  полное  освобождение  от  уплаты   таможенныхплатежей, за  исключением таможенных сборов,  предусмотренных  пунктом5 настоящих Правил;    - при превышении стоимостных ограничений более чем на 20 процентовк  товарам  (за исключением товаров подакцизной группы,   строительныхматериалов,   оборудования   и продуктов питания)  применяется  единаяставка таможенных платежей (таможенная пошлина и НДС) в размере:    а) по  товарам,  ввозимым авиационным транспортом 0,39 доллара СШАза 1 кг перегруза;    б) по  товарам,  перемещаемым  из  Страны отправления в КыргызскуюРеспублику  автомобильным  и  железнодорожным  транспортом   -    0,15доллара США за 1 кг перегруза.    14.   Товары   (за   исключением   товаров   подакцизной   группы,строительных  материалов, оборудования и продуктов питания),  ввозимыефизическими   лицами   в   несопровождаемом   багаже  при   превышенииустановленной   квоты,  указанной  в  пункте  11   настоящих   Правил,облагаются по единой ставке таможенных платежей в размере:    а) по товарам,  ввозимым авиационным транспортом,  - 0,39  доллараСША за 1 кг;    б) по товарам,  перемещаемым из страны  отправления  в  КыргызскуюРеспублику  автомобильным  и  железнодорожным  транспортом,   -   0,15доллара США за 1 кг.    15.   Для   целей  начисления  и  уплаты  таможенных  платежей   всоответствии с пунктами 13 и 14 настоящих Правил таможенная  стоимостьтоваров,   ввозимых   физическими  лицами  на  таможенную   территориюКыргызской Республики авиационным транспортом, определяется в  размере1,3  доллара  США  за  1  кг  груза, автомобильным  и  железнодорожнымтранспортом - в размере 0,5 доллара США за 1 кг груза.                  IV. Вывоз товаров и иных предметов за              таможенную территорию Кыргызской Республики     16.  Вывоз   товаров  и  иных  предметов  физическими  лицами   затаможенную   территорию   Кыргызской   Республики   может    быть    внеограниченном    количестве    при  обязательном   декларировании   вустановленном   порядке,    кроме  товаров,   запрещенных   к   вывозузаконодательством Кыргызской Республики.                   V. Транзит товаров и иных предметов            через таможенную границу Кыргызской Республики     17. Товары и иные предметы,  перемещаемые через таможенную границуКыргызской   Республики   в   режиме    "таможенный    транзит"    (заисключением предметов, указанных в приложении 1 к настоящим Правилам),пропускаются при условии декларирования этих товаров и иных  предметовв  установленном законодательством Кыргызской Республики порядке.                VI. Таможенное оформление товаров и иных           предметов, перемещаемых физическими лицами через               таможенную границу Кыргызской Республики     18. Товары и иные предметы,  перемещаемые физическими лицами черезтаможенную  границу  Кыргызской Республики  в  пределах  установленныхнастоящими   Правилами квот и ограничений,  подлежат декларированию  вупрощенном  порядке путем представления таможенному органу  декларацииформы Т-6 и ТС-14.    При превышении установленных  квот  и  ограничений  декларированиепроизводится   путем   представления   таможенному   органу   грузовойтаможенной декларации установленного образца.    19. Одновременно  с  таможенной  декларацией  в  таможенный  органпредставляются  также  иные  документы, необходимые  для  производстватаможенного оформления и проведения таможенного контроля.                VII. Государственный таможенный контроль     20. В  целях защиты интересов Кыргызской Республики на должностныхлиц  таможенных  органов возлагается контроль за  соблюдением  условийперемещения   физическими  лицами  товаров  и  иных  предметов   черезтаможенную границу республики.    21. Должностные лица таможенных органов обязаны:    -  опрашивать  физических лиц по вопросам,  связанным  с  порядкомпроведения таможенного досмотра;    - досматривать ручную кладь и багаж физических лиц,  не пропускатьчерез   таможенную   границу  республики предметы,  которые  не  могутбыть ввезены в республику или вывезены за ее пределы;    - изымать предметы, запрещенные в соответствии с законодательствомКыргызской   Республики  к  перемещению  через  таможенную    границу.Изъятие  осуществляется  в установленном законодательством  КыргызскойРеспублики порядке;    - оценивать  предметы,  подлежащие обложению таможенной пошлиной иналогом на добавленную стоимость;    -  принимать   у  физических лиц таможенные платежи с  оформлениемустановленных документов;    - в  случае  обнаружения контрабанды,  нарушения таможенных правилоформлять   необходимые   документы  о  правонарушении    и    изыматьпредметы, ставшие объектом правонарушения.    22. В исключительных случаях,  при наличии  достаточных  основанийполагать,    что    физическое  лицо  скрывает   при   себе   предметыконтрабанды,   по   решению  начальника  таможни   либо   лица,    егозамещающего,  может  быть проведен личный досмотр.    23. Должностные лица таможенных органов  обязаны  в  установленномпорядке   заблаговременно информировать физических  лиц  о  таможенныхправилах, действующих на территории Кыргызской Республики.                               Приложение 1                        к Правилам перемещения                          физическими лицами                       товаров и иных предметов                       через таможенную границу                         Кыргызской Республики                                ПРЕДМЕТЫ,                   запрещенные к ввозу на таможенную                   территорию Кыргызской Республики     1. Все виды оружия и боеприпасы к нему, взрывчатые вещества.    2. Наркотические  и психотропные вещества,  а также приспособлениядля курения опия и гашиша.    3. Яды сильнодействующие.    4.   Произведения  печати,   клише,   негативы,  заснятые  пленки,фотоснимки,   киноленты,   видеокассеты   и  видеодиски   с   записямикинофильмов и других видеопрограмм, рукописи, грампластинки  и  другиезвукозаписи,  рисунки  и  иная печатная и  изобразительная  продукция,содержащая   сведения,  которые  могут  причинить  вред  политическим,экономическим  интересам  республики,   государственной  безопасности,общественному порядку,  охране здоровья, нравственности населения.    5.  Другие   предметы,   ввоз  которых запрещен  законодательствомКыргызской Республики.                               Приложение 2                        к Правилам перемещения                          физическими лицами                       товаров и иных предметов                       через таможенную границу                         Кыргызской Республики                                ПЕРЕЧЕНЬ                   товаров и иных предметов, которые             могут быть ввезены в ограниченном количестве                    без уплаты таможенных платежей                                  (В редакции постановления Правительства КР                    </w:t>
      </w:r>
      <w:hyperlink w:history="1" r:id="rIdv8lk2cw5virotuiwmhubi">
        <w:r>
          <w:rPr>
            <w:rFonts w:ascii="Arial" w:cs="Arial" w:eastAsia="Arial" w:hAnsi="Arial"/>
            <w:color w:val="1D4ED8"/>
            <w:sz w:val="24"/>
            <w:szCs w:val="24"/>
            <w:u w:val="single"/>
          </w:rPr>
          <w:t xml:space="preserve">от 12 февраля 2003 года №51</w:t>
        </w:r>
      </w:hyperlink>
      <w:r>
        <w:rPr>
          <w:rFonts w:ascii="Arial" w:cs="Arial" w:eastAsia="Arial" w:hAnsi="Arial"/>
          <w:sz w:val="24"/>
          <w:szCs w:val="24"/>
        </w:rPr>
        <w:t xml:space="preserve">) -----------------------------------------------------------------------   Наименование товара       |     Код товара    |Количество (на лицо)                             |     по ТН ВЭД     |-----------------------------|-------------------|---------------------Алкогольные напитки (лицам не|220300; 2204 (кроме|2 литрамоложе 21 года)              |220430); 2205;     |                             |220600; 220710000; |                             |2208 (кроме 22810) |Табачные изделия (лицам не   |2402 (кроме        |200 штук сигаретмоложе 16 лет)               |240290000)         |Бензин автомобильный или     |2710               |заводской топливныйдизельное топливо            |                   |бак данного                             |                   |автотранспортного                             |                   |средстваШины, покрышки и камеры для  |401110000;         |2 штукишин к легковым автомобилям   |401310100          |Одежда из натуральной кожи   |420310000          |1 предмет (комплект)Пластины, воротники, манжеты,|430230100; 430310  |1 предмет (комплект)отделки из натурального меха |                   |Одежда меховая и             |430310             |1 предмет (комплект)принадлежности одежды меховые|                   |Ковры                        |570500             |2 штукиГоловные уборы из            |650692000          |1 предметнатурального меха            |                   |Изделия из хрусталя          |701321; 701331;    |3 предмета или                             |701391; 940510500  |1 комплект (сервиз)Бриллианты                   |710239000          |0,5 каратаЮвелирные и иные изделия и их|7113; 7114; 7116   |2 предметачасти из драгоценных металлов|                   |или металлов, лакированных   |                   |драгоценными металлами, а    |                   |также изделия из природного  |                   |или культивированного        |                   |жемчуга, драгоценных или     |                   |полудрагоценных камней       |                   |(природных, искусственных или|                   |реконструированных)          |                   |Аудио-, видеоаппаратура      |                   |1 комплектТелевизоры                   |                   |1 комплектХолодильники                 |                   |1 комплектДругая бытовая техника       |                   |1 комплектДругие однородные товары     |                   |5 комплектов(одного наименования, фасона,|                   |размера, цвета)              |                   |Мебель                       |                   |1 гарнитурИсключен.                    |                   |Действие позиции             |                   |Исключен.                    |                   |приостановлено сроком на пять месяцев с 1 августа по 31 декабря 2002 года (Действие позиции "Зерно продовольственной пшеницы" приостановлено</w:t>
      </w:r>
      <w:hyperlink w:history="1" r:id="rIdlndo1_4sf0wx7gde8z7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августа 2002 года N 594 сроком начетыре месяца с 1 сентября по 31 декабря 2002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d33qd8rzovzf3gusdbl">
      <w:r>
        <w:rPr>
          <w:rFonts w:ascii="Arial" w:cs="Arial" w:eastAsia="Arial" w:hAnsi="Arial"/>
          <w:color w:val="132D3F"/>
          <w:sz w:val="16"/>
          <w:szCs w:val="16"/>
          <w:u w:val="single"/>
        </w:rPr>
        <w:t xml:space="preserve">dalil.kg/document/34491</w:t>
      </w:r>
    </w:hyperlink>
  </w:p>
  <w:p>
    <w:pPr>
      <w:spacing w:after="0" w:before="40"/>
      <w:jc w:val="center"/>
    </w:pPr>
    <w:hyperlink w:history="1" r:id="rIdwl7-4nogjmq3hwm88mv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gmmjrvvpncaz4g5u8s2" Type="http://schemas.openxmlformats.org/officeDocument/2006/relationships/hyperlink" Target="https://dalil.kg/document/55686" TargetMode="External"/><Relationship Id="rIduusnf3pmakrp42pwc2kuk" Type="http://schemas.openxmlformats.org/officeDocument/2006/relationships/hyperlink" Target="https://dalil.kg/document/34495" TargetMode="External"/><Relationship Id="rIdrstvn4dbyr39hn-yeoz5o" Type="http://schemas.openxmlformats.org/officeDocument/2006/relationships/hyperlink" Target="https://dalil.kg/document/34752" TargetMode="External"/><Relationship Id="rIdbhppdirzlzfugsypoqs7a" Type="http://schemas.openxmlformats.org/officeDocument/2006/relationships/hyperlink" Target="https://dalil.kg/document/5715" TargetMode="External"/><Relationship Id="rIdciygk1w-tuoq8vqschaey" Type="http://schemas.openxmlformats.org/officeDocument/2006/relationships/hyperlink" Target="https://dalil.kg/document/33379" TargetMode="External"/><Relationship Id="rId5m7u1ok6_aqzejmniibmn" Type="http://schemas.openxmlformats.org/officeDocument/2006/relationships/hyperlink" Target="https://dalil.kg/document/34054" TargetMode="External"/><Relationship Id="rIdruv5tdles6qtslkuudfne" Type="http://schemas.openxmlformats.org/officeDocument/2006/relationships/hyperlink" Target="https://dalil.kg/document/7507" TargetMode="External"/><Relationship Id="rIdy2xv2uyxcy672ud8akv3g" Type="http://schemas.openxmlformats.org/officeDocument/2006/relationships/hyperlink" Target="https://dalil.kg/document/7876" TargetMode="External"/><Relationship Id="rIdlatdz8l2mx-tquokq6nck" Type="http://schemas.openxmlformats.org/officeDocument/2006/relationships/hyperlink" Target="https://dalil.kg/document/53396" TargetMode="External"/><Relationship Id="rIdonzwgoss8wjlwdu-3ghms" Type="http://schemas.openxmlformats.org/officeDocument/2006/relationships/hyperlink" Target="https://dalil.kg/document/53434" TargetMode="External"/><Relationship Id="rIdzgis4ps16a5bohjjltd2o" Type="http://schemas.openxmlformats.org/officeDocument/2006/relationships/hyperlink" Target="https://dalil.kg/document/53675" TargetMode="External"/><Relationship Id="rIdomzcdss83tcu0fnje2qhu" Type="http://schemas.openxmlformats.org/officeDocument/2006/relationships/hyperlink" Target="https://dalil.kg/document/53785" TargetMode="External"/><Relationship Id="rId3nzfvrhd8bpote2kf8_ls" Type="http://schemas.openxmlformats.org/officeDocument/2006/relationships/hyperlink" Target="https://dalil.kg/document/54190" TargetMode="External"/><Relationship Id="rIdv8lk2cw5virotuiwmhubi" Type="http://schemas.openxmlformats.org/officeDocument/2006/relationships/hyperlink" Target="https://dalil.kg/document/54190" TargetMode="External"/><Relationship Id="rIdlndo1_4sf0wx7gde8z7nw" Type="http://schemas.openxmlformats.org/officeDocument/2006/relationships/hyperlink" Target="https://dalil.kg/document/5378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d33qd8rzovzf3gusdbl" Type="http://schemas.openxmlformats.org/officeDocument/2006/relationships/hyperlink" Target="https://dalil.kg/document/34491" TargetMode="External"/><Relationship Id="rIdwl7-4nogjmq3hwm88mv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2026-09-24T08:46:44.937Z</dcterms:created>
  <dcterms:modified xsi:type="dcterms:W3CDTF">2026-09-24T08:46:44.937Z</dcterms:modified>
</cp:coreProperties>
</file>

<file path=docProps/custom.xml><?xml version="1.0" encoding="utf-8"?>
<Properties xmlns="http://schemas.openxmlformats.org/officeDocument/2006/custom-properties" xmlns:vt="http://schemas.openxmlformats.org/officeDocument/2006/docPropsVTypes"/>
</file>