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 сентября 1997 года N 499            ПОСТАНОВЛЕНИЕ ПРАВИТЕЛЬСТВА КЫРГЫЗСКОЙ РЕСПУБЛИКИ          Об отводе и использовании сельскохозяйственных угодий     Правительство  Кыргызской Республики отмечает,  что  за  последниегоды   участились   случаи   выделения  земель   сельскохозяйственногоназначения под строительство торговых точек, автозаправочных станций идругих объектов.    Усилилась тенденция отвода земель под индивидуальное строительствобез    соответствующего    юридического     оформления.     Происходитсамовольный захват земель организациями и предприятиями города Бишкек.    Повсеместно  бессистемно  стравливаются и  вытаптываются  пастбищаинтенсивного использования и присельные,  тогда как отгонные  пастбищаостаются    нетронутыми.    Местные   государственные    администрацииослабили контроль за использованием земель.    В целях устранения недостатков в вопросах использования  и  отводаземель    и   в   соответствии   со  статьей  33  </w:t>
      </w:r>
      <w:hyperlink w:history="1" r:id="rIdspkejq-ykqwepbfyjq9ac">
        <w:r>
          <w:rPr>
            <w:rFonts w:ascii="Arial" w:cs="Arial" w:eastAsia="Arial" w:hAnsi="Arial"/>
            <w:color w:val="1D4ED8"/>
            <w:sz w:val="24"/>
            <w:szCs w:val="24"/>
            <w:u w:val="single"/>
          </w:rPr>
          <w:t xml:space="preserve">Земельного</w:t>
        </w:r>
      </w:hyperlink>
      <w:r>
        <w:rPr>
          <w:rFonts w:ascii="Arial" w:cs="Arial" w:eastAsia="Arial" w:hAnsi="Arial"/>
          <w:sz w:val="24"/>
          <w:szCs w:val="24"/>
        </w:rPr>
        <w:t xml:space="preserve">   кодексаКыргызской     Республики    Правительство    Кыргызской    Республикипостановляет:    1.  Запретить  областным,  районным  и  городским  государственнымадминистрациям без решения Правительства Кыргызской  Республики  отводдля  несельскохозяйственных  нужд особо  ценных  продуктивных  земель,интенсивно используемых угодий (пашня орошаемая и богарная, земли  подмноголетними   плодовыми  насаждениями,  виноградниками,   ягодниками,улучшенные  сенокосы,   культурные пастбища и земли,  занятые  леснымикультурами защитного и природоохранного назначения).    2.  Государственному  агентству по  землеустройству  и   земельнымресурсам   при   Правительстве  Кыргызской  Республики,   областным  ирайонным   государственным   администрациям   усилить   контроль    зарациональным    и   эффективным  использованием  земельных   участков,выделяемых землепользователям для сельскохозяйственного производства.    3.  Установить,  что при выявлении неиспользуемых в  течение  годаземельных  участков  местные государственные  администрации  принимаютнадлежащие  меры по каждому конкретному случаю,  вплоть до решения  обизъятии  их  в  Фонд перераспределения сельхозугодий при  Министерствесельского  и водного хозяйства Кыргызской Республики.    4.   Министерству   сельского  и  водного   хозяйства   КыргызскойРеспублики и Государственному агентству по землеустройству и земельнымресурсам  при Правительстве Кыргызской Республики совместно с местнымигосударственными  администрациями  организовать сезонное использованиепастбищ, предотвратив чрезмерный выпас на  присельных  участках  путемперегона части скота на отдаленные пастбища.    5. Контроль за исполнением настоящего постановления  возложить  надиректора  Государственного агентства по землеустройству  и  земельнымресурсам при Правительстве Кыргызской Республики Касмалиева А.К.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rgozu5kkkmrojtnof-z">
      <w:r>
        <w:rPr>
          <w:rFonts w:ascii="Arial" w:cs="Arial" w:eastAsia="Arial" w:hAnsi="Arial"/>
          <w:color w:val="132D3F"/>
          <w:sz w:val="16"/>
          <w:szCs w:val="16"/>
          <w:u w:val="single"/>
        </w:rPr>
        <w:t xml:space="preserve">dalil.kg/document/34681</w:t>
      </w:r>
    </w:hyperlink>
  </w:p>
  <w:p>
    <w:pPr>
      <w:spacing w:after="0" w:before="40"/>
      <w:jc w:val="center"/>
    </w:pPr>
    <w:hyperlink w:history="1" r:id="rId30gpwt0lyhao9wruktwj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pkejq-ykqwepbfyjq9ac"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rgozu5kkkmrojtnof-z" Type="http://schemas.openxmlformats.org/officeDocument/2006/relationships/hyperlink" Target="https://dalil.kg/document/34681" TargetMode="External"/><Relationship Id="rId30gpwt0lyhao9wruktwj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2026-09-27T19:13:56.053Z</dcterms:created>
  <dcterms:modified xsi:type="dcterms:W3CDTF">2026-09-27T19:13:56.053Z</dcterms:modified>
</cp:coreProperties>
</file>

<file path=docProps/custom.xml><?xml version="1.0" encoding="utf-8"?>
<Properties xmlns="http://schemas.openxmlformats.org/officeDocument/2006/custom-properties" xmlns:vt="http://schemas.openxmlformats.org/officeDocument/2006/docPropsVTypes"/>
</file>