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pw8qedf_8zulqjfcm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1997 года № 720                                ПОЛОЖЕНИЕ           Фонда социального развития Иссык-Кульской области               (В редакции постановления Правительства КР от                     </w:t>
      </w:r>
      <w:hyperlink w:history="1" r:id="rIdminvcrtktktkwaw2acuac">
        <w:r>
          <w:rPr>
            <w:rFonts w:ascii="Arial" w:cs="Arial" w:eastAsia="Arial" w:hAnsi="Arial"/>
            <w:color w:val="1D4ED8"/>
            <w:sz w:val="24"/>
            <w:szCs w:val="24"/>
            <w:u w:val="single"/>
          </w:rPr>
          <w:t xml:space="preserve">25 сентября 2008 года № 534</w:t>
        </w:r>
      </w:hyperlink>
      <w:r>
        <w:rPr>
          <w:rFonts w:ascii="Arial" w:cs="Arial" w:eastAsia="Arial" w:hAnsi="Arial"/>
          <w:sz w:val="24"/>
          <w:szCs w:val="24"/>
        </w:rPr>
        <w:t xml:space="preserve">)                           I. Общие положения     1. Согласно условиям пункта  4.10  Генерального  соглашения  междуПравительством  Кыргызской  Республики, госконцерном  "Кыргызалтын"  икорпорацией "Камэко Корпорейшн", подписанного 4 декабря 1992  года  (сизменениями   и   дополнениями   от 31  мая  1994  года),   совместноепредприятие  "Кумтор  Голд Компани" создает Фонд социального  развитияИссык-Кульской  области  (далее  -  Фонд),  который   будет  оказыватьпомощь жителям Иссык-Кульской области.                         II. Порядок управления     2. Для управления Фондом создается Наблюдательный совет.    3. Председатель Наблюдательного совета ведет его заседания.    4.   Замещение  членов  Наблюдательного  совета  производится   позанимаемой должности.    5. В конце каждого календарного года Наблюдательный совет на своихзаседаниях   утверждает   перечень финансируемых  объектов  и  своднуюсмету  по ним на предстоящий год (с ежеквартальной разбивкой),  исходяиз ожидаемого поступления средств.    Решения относительно финансирования объектов за счет средств Фондапринимаются   членами   Наблюдательного  совета  простым  большинствомголосов, по результатам которых оформляются соответствующие протоколы.    6.  Права  и  ответственность распорядителя  средствами  Фонда,  встрогом  соответствии с утвержденным Наблюдательным  советом  перечнемобъектов  и  сводной  сметой предоставляются  Управлению  капитальногостроительства  Иссык-Кульской областной государственной  администрации(далее  распорядитель).                III. Функции распорядителя средств Фонда     7. Распорядитель средств Фонда:    - открывает в одном из коммерческих банков  Кыргызской  Республикирасчетный счет Фонда;    - обеспечивает централизованное материально-техническое снабжение;    - обеспечивает  технический  надзор,  составление проектно-сметнойдокументации на ремонт и реконструкцию объектов;    -   производит    оплату    расходов  мероприятий,    утвержденныхНаблюдательным советом;    - ведет учет и отчетность по движению денежных средств Фонда;    -  размещает  свободные  денежные средства  Фонда  в  коммерческихбанках Кыргызской Республики на выгодных условиях;    - проводит работу по организации заседаний Наблюдательного совета;    - готовит сведения для независимого аудитора;    - ведет протоколы заседаний Наблюдательного совета.    Наблюдательным   советом    Фонда  могут   быть   определены   дляраспорядителя   дополнительные  функции  или   более    детализированывышеопределенные функции.                    IV. Ответственность распорядителя     8.   Распорядитель    несет   персональную   ответственность    засохранность,  эффективное  и  целевое использование  денежных  средствФонда в соответствии с законодательством Кыргызской Республики.    9.  Распорядитель  представляет  ежегодно  Наблюдательному  советуотчет  по  использованию денежных средств за  отчетный  год,   которыйутверждается   Наблюдательным  советом.  Затем  Наблюдательный   советрассматривает бюджет Фонда на следующий отчетный период.  УтвержденныйНаблюдательным   советом  бюджет  на  следующий  год  передается   дляисполнения  распорядителю.    10. В качестве независимого аудитора по анализу деятельности Фонданазначается Счетная плата Кыргызской Республики.     (В редакции постановления Правительства КР </w:t>
      </w:r>
      <w:hyperlink w:history="1" r:id="rIdhaggpmozra2bbaocn4-gi">
        <w:r>
          <w:rPr>
            <w:rFonts w:ascii="Arial" w:cs="Arial" w:eastAsia="Arial" w:hAnsi="Arial"/>
            <w:color w:val="1D4ED8"/>
            <w:sz w:val="24"/>
            <w:szCs w:val="24"/>
            <w:u w:val="single"/>
          </w:rPr>
          <w:t xml:space="preserve">от 25 сентября 2008 го-</w:t>
        </w:r>
      </w:hyperlink>
      <w:hyperlink w:history="1" r:id="rIdv-hee-yftwwxyppffhb-7">
        <w:r>
          <w:rPr>
            <w:rFonts w:ascii="Arial" w:cs="Arial" w:eastAsia="Arial" w:hAnsi="Arial"/>
            <w:color w:val="1D4ED8"/>
            <w:sz w:val="24"/>
            <w:szCs w:val="24"/>
            <w:u w:val="single"/>
          </w:rPr>
          <w:t xml:space="preserve">да № 534</w:t>
        </w:r>
      </w:hyperlink>
      <w:r>
        <w:rPr>
          <w:rFonts w:ascii="Arial" w:cs="Arial" w:eastAsia="Arial" w:hAnsi="Arial"/>
          <w:sz w:val="24"/>
          <w:szCs w:val="24"/>
        </w:rPr>
        <w:t xml:space="preserve">)                 V. Порядок определения сумм отчислений     11. Совместное предприятие "Кумтор Голд Компани" ежегодно вносит вФонд   отчисления,   определяемые согласно условиям  пункта  3.14  (h)Генерального соглашения:    а) после  начала  промышленной  добычи  и до погашения кредитов поПроекту   в   размере  2  процентов  от  чистой  прибыли   совместногопредприятия "Кумтор Голд Компани";    б) после погашения кредитов по Проекту в размере  4  процентов  отчистой прибыли совместного предприятия "Кумтор Голд Компани".    12.  Платежи  в  Фонд  в  соответствии с   вышеуказанным   пунктомГенерального    соглашения    рассчитываются   за   истекший   год   иперечисляются  на расчетный счет распорядителя по истечении  отчетногогода.                 VI. Порядок зачисления денежных средств     13.  Начисленные  совместным предприятием  "Кумтор  Голд  Компани"денежные  средства  перечисляются  им  на  расчетный  счет  Фонда   пореквизитам, сообщаемым распорядителем.    При  этом  копии  расчетов,  начисленных  совместным  предприятием"Кумтор Голд Компани", направляются распорядителю.    14. Учет и отчетность по движению денежных средств Фонда ведется всоответствии с действующими положениями.               VII. Порядок использования денежных средств     15.   Целевые   денежные   средства   должны   быть   использованыраспорядителем только на цели,  определяемые Наблюдательным советом, всоответствии с Генеральным соглашением. Целевые денежные  средства  немогут быть использованы на другие цели,  а также на расходы, связанныес    организационными   мероприятиями   Наблюдательного    совета    ираспорядителя.    16.   Распорядителем   полученные  проценты  на  целевые  денежныесредства  используются  в целях наращивания   суммы   аккумулированныхденежных средств.    17. Целевые денежные средства используются:     - на  укрепление материально-технической базы учреждений образова-ния,  здравоохранения, социальной защиты, культуры и спорта, правоохра-нительных органов, обороны, местных государственных администраций и ор-ганов местного самоуправления,  и не могут быть использованы на коммер-ческие и деловые проекты;     - на разработку генеральных планов курортных комплексов,  проектовдетальной  планировки,  градостроительной документации населенных пунк-тов, обеспечение экологической безопасности;     - на  мероприятия  по  мелиоративному улучшению земель,  ремонту ивосстановлению ирригационных сетей и другие агротехнические мероприятияпо улучшению состояния земель.    (В редакции постановления Правительства КР </w:t>
      </w:r>
      <w:hyperlink w:history="1" r:id="rIdzc8zmmgbe1s7ovvks_8q3">
        <w:r>
          <w:rPr>
            <w:rFonts w:ascii="Arial" w:cs="Arial" w:eastAsia="Arial" w:hAnsi="Arial"/>
            <w:color w:val="1D4ED8"/>
            <w:sz w:val="24"/>
            <w:szCs w:val="24"/>
            <w:u w:val="single"/>
          </w:rPr>
          <w:t xml:space="preserve">от 25 сентября 2008 го-</w:t>
        </w:r>
      </w:hyperlink>
      <w:hyperlink w:history="1" r:id="rIdsqiezljacqryj8tjoei7f">
        <w:r>
          <w:rPr>
            <w:rFonts w:ascii="Arial" w:cs="Arial" w:eastAsia="Arial" w:hAnsi="Arial"/>
            <w:color w:val="1D4ED8"/>
            <w:sz w:val="24"/>
            <w:szCs w:val="24"/>
            <w:u w:val="single"/>
          </w:rPr>
          <w:t xml:space="preserve">да № 534</w:t>
        </w:r>
      </w:hyperlink>
      <w:r>
        <w:rPr>
          <w:rFonts w:ascii="Arial" w:cs="Arial" w:eastAsia="Arial" w:hAnsi="Arial"/>
          <w:sz w:val="24"/>
          <w:szCs w:val="24"/>
        </w:rPr>
        <w:t xml:space="preserve">)    18. Целевые денежные средства Фонда исходя из надежности, рейтингасреди   коммерческих   банков   Кыргызской  Республики  распорядителеммогут  размещаться в них в качестве депозита на условиях срочности,  атакже на условиях "до востребования" под наиболее выгодные проценты.    19. В целях обеспечения возвратности вложенных финансовых  активовпри    необходимости  распорядитель  осуществляет  их  страхование   внаиболее надежных страховых компаниях Кыргызской Республики.                          VIII. Налогообложение     20.   Налогообложение  Фонда  осуществляется  в   соответствии   сзаконодательством Кыргызской Республики.                           IX. Особые условия     21.  Штаты   Наблюдательного  совета  не  являются  освобожденнымиштатными работниками.    22. Для  составления  проектно-сметной документации,  техническогонадзора,   материально-технического  снабжения  и  т.д.  распорядителюотчисляется 2,5 процента денежных средств от общего объема поступившихФонду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ifvz2zo6zhjcr8ectgg">
      <w:r>
        <w:rPr>
          <w:rFonts w:ascii="Arial" w:cs="Arial" w:eastAsia="Arial" w:hAnsi="Arial"/>
          <w:color w:val="132D3F"/>
          <w:sz w:val="16"/>
          <w:szCs w:val="16"/>
          <w:u w:val="single"/>
        </w:rPr>
        <w:t xml:space="preserve">dalil.kg/document/34970</w:t>
      </w:r>
    </w:hyperlink>
  </w:p>
  <w:p>
    <w:pPr>
      <w:spacing w:after="0" w:before="40"/>
      <w:jc w:val="center"/>
    </w:pPr>
    <w:hyperlink w:history="1" r:id="rId5uinfutgwefgoqilk3n_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w8qedf_8zulqjfcmlc" Type="http://schemas.openxmlformats.org/officeDocument/2006/relationships/hyperlink" Target="https://dalil.kg/document/34969" TargetMode="External"/><Relationship Id="rIdminvcrtktktkwaw2acuac" Type="http://schemas.openxmlformats.org/officeDocument/2006/relationships/hyperlink" Target="https://dalil.kg/document/59446" TargetMode="External"/><Relationship Id="rIdhaggpmozra2bbaocn4-gi" Type="http://schemas.openxmlformats.org/officeDocument/2006/relationships/hyperlink" Target="https://dalil.kg/document/59446" TargetMode="External"/><Relationship Id="rIdv-hee-yftwwxyppffhb-7" Type="http://schemas.openxmlformats.org/officeDocument/2006/relationships/hyperlink" Target="https://dalil.kg/document/59446" TargetMode="External"/><Relationship Id="rIdzc8zmmgbe1s7ovvks_8q3" Type="http://schemas.openxmlformats.org/officeDocument/2006/relationships/hyperlink" Target="https://dalil.kg/document/59446" TargetMode="External"/><Relationship Id="rIdsqiezljacqryj8tjoei7f" Type="http://schemas.openxmlformats.org/officeDocument/2006/relationships/hyperlink" Target="https://dalil.kg/document/5944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ifvz2zo6zhjcr8ectgg" Type="http://schemas.openxmlformats.org/officeDocument/2006/relationships/hyperlink" Target="https://dalil.kg/document/34970" TargetMode="External"/><Relationship Id="rId5uinfutgwefgoqilk3n_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2026-09-24T16:29:51.593Z</dcterms:created>
  <dcterms:modified xsi:type="dcterms:W3CDTF">2026-09-24T16:29:51.593Z</dcterms:modified>
</cp:coreProperties>
</file>

<file path=docProps/custom.xml><?xml version="1.0" encoding="utf-8"?>
<Properties xmlns="http://schemas.openxmlformats.org/officeDocument/2006/custom-properties" xmlns:vt="http://schemas.openxmlformats.org/officeDocument/2006/docPropsVTypes"/>
</file>