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0178"/>
      </w:tblGrid>
      <w:tr>
        <w:tc>
          <w:tcPr>
            <w:tcW w:type="dxa" w:w="10178"/>
            <w:tcBorders>
              <w:top w:val="none" w:color="auto" w:sz="0"/>
              <w:left w:val="none" w:color="auto" w:sz="0"/>
              <w:bottom w:val="none" w:color="auto" w:sz="0"/>
              <w:right w:val="none" w:color="auto" w:sz="0"/>
            </w:tcBorders>
          </w:tcPr>
          <w:p>
            <w:pPr>
              <w:spacing w:after="200"/>
              <w:jc w:val="center"/>
            </w:pPr>
            <w:r>
              <w:drawing>
                <wp:inline distT="0" distB="0" distL="0" distR="0">
                  <wp:extent cx="1152525" cy="1152525"/>
                  <wp:effectExtent t="0" r="0" b="0" l="0"/>
                  <wp:docPr id="1" name="emblem.png" descr="Герб Кыргызской Республики" title="Герб КР"/>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8" cstate="none"/>
                          <a:srcRect/>
                          <a:stretch>
                            <a:fillRect/>
                          </a:stretch>
                        </pic:blipFill>
                        <pic:spPr bwMode="auto">
                          <a:xfrm>
                            <a:off x="0" y="0"/>
                            <a:ext cx="1152525" cy="1152525"/>
                          </a:xfrm>
                          <a:prstGeom prst="rect">
                            <a:avLst/>
                          </a:prstGeom>
                        </pic:spPr>
                      </pic:pic>
                    </a:graphicData>
                  </a:graphic>
                </wp:inline>
              </w:drawing>
            </w:r>
          </w:p>
        </w:tc>
      </w:tr>
    </w:tbl>
    <w:p>
      <w:pPr>
        <w:spacing w:after="120"/>
        <w:jc w:val="both"/>
      </w:pPr>
      <w:r>
        <w:rPr>
          <w:rFonts w:ascii="Arial" w:cs="Arial" w:eastAsia="Arial" w:hAnsi="Arial"/>
          <w:sz w:val="24"/>
          <w:szCs w:val="24"/>
        </w:rPr>
        <w:t xml:space="preserve">                           УТРАТИЛО СИЛУ           в соответствии с </w:t>
      </w:r>
      <w:hyperlink w:history="1" r:id="rIdq0qxwzzv0x9miu475meqp">
        <w:r>
          <w:rPr>
            <w:rFonts w:ascii="Arial" w:cs="Arial" w:eastAsia="Arial" w:hAnsi="Arial"/>
            <w:color w:val="1D4ED8"/>
            <w:sz w:val="24"/>
            <w:szCs w:val="24"/>
            <w:u w:val="single"/>
          </w:rPr>
          <w:t xml:space="preserve">постановлением</w:t>
        </w:r>
      </w:hyperlink>
      <w:r>
        <w:rPr>
          <w:rFonts w:ascii="Arial" w:cs="Arial" w:eastAsia="Arial" w:hAnsi="Arial"/>
          <w:sz w:val="24"/>
          <w:szCs w:val="24"/>
        </w:rPr>
        <w:t xml:space="preserve"> Правительства КР                     от 12 апреля 2004 года N 247 г.Бишкек, Дом Правительства от 27 мая 1999 года N 290            ПОСТАНОВЛЕНИЕ ПРАВИТЕЛЬСТВА КЫРГЫЗСКОЙ РЕСПУБЛИКИ           Об утверждении Правил ношения, норм выдачи и сроков           носки служебного обмундирования и описания знаков        различия сотрудников налоговой полиции Государственной             налоговой инспекции при Министерстве финансов                         Кыргызской Республики     В соответствии с Законом Кыргызской  Республики  "Об  установленииспециальных   званий   сотрудникам  налоговой  полиции"  ПравительствоКыргызской Республики постановляет:    1. Утвердить прилагаемые:    -   </w:t>
      </w:r>
      <w:hyperlink w:history="1" r:id="rIdietqxvpu41vlyhbgkeor1">
        <w:r>
          <w:rPr>
            <w:rFonts w:ascii="Arial" w:cs="Arial" w:eastAsia="Arial" w:hAnsi="Arial"/>
            <w:color w:val="1D4ED8"/>
            <w:sz w:val="24"/>
            <w:szCs w:val="24"/>
            <w:u w:val="single"/>
          </w:rPr>
          <w:t xml:space="preserve">Правила</w:t>
        </w:r>
      </w:hyperlink>
      <w:r>
        <w:rPr>
          <w:rFonts w:ascii="Arial" w:cs="Arial" w:eastAsia="Arial" w:hAnsi="Arial"/>
          <w:sz w:val="24"/>
          <w:szCs w:val="24"/>
        </w:rPr>
        <w:t xml:space="preserve">  ношения,   нормы  выдачи  и  сроки  носки  служебногообмундирования    сотрудниками   налоговой   полиции   Государственнойналоговой инспекции при Министерстве финансов Кыргызской Республики;    -   Описание   знаков   различия  сотрудников  налоговой   полицииГосударственной   налоговой   инспекции  при   Министерстве   финансовКыргызской  Республики.    2.    Предоставить   Государственной   налоговой   инспекции   приМинистерстве  финансов Кыргызской Республики право  производить  пошивобмундирования за счет своих внебюджетных средств.     Премьер-министр Кыргызской Республики             А.Муралиев                                Утверждено                     постановлением Правительства                         Кыргызской Республики                       от 27 мая 1999 года N 290                                ОПИСАНИЕ             знаков различия сотрудников налоговой полиции         Государственной налоговой инспекции при Министерстве                    финансов Кыргызской Республики                             Погоны плечевые     Погоны   сотрудников  налоговой  полиции  служат  для  определенияспециального звания.    Погоны установлены парадные,  повседневные. По способу крепления кобмундированию они могут быть нашивные или съемные.    Размеры погон: длина 13,0 - 18,0 см                          ширина 5,0 - 6,5 см    Парадные погоны  - для лиц высшего начальствующего состава с полемиз   галуна   особого  переплетения,  изготовленного  из  позолоченныхволокон,    с   вышитыми   золотыми   звездочками,    соответствующимиспециальному званию, с крановыми кантами.    Повседневные погоны  -  с полем из шелкового галуна черного цвета,галуном с краповыми кантами.    Парадные  погоны - для лиц старшего начальствующего  состава  -  сполем  из  металлического  галуна  золотистого  цвета,   с  кантом   ипросветами   крапового   цвета.   На   погонах  -   два   просвета   иметаллические звездочки золотистого цвета диаметром 20 мм.  На погонахсреднего  начальствующего  состава  -  один  просвет  и  металлическиезвездочки  золотистого цвета диаметром 13 мм. Количество звездочек  напогонах соответствует специальному званию.    Повседневные погоны - с полем из шелкового галуна черного цвета  скраповыми  кантами и просветами.  Просветы,  канты и  звездочки  такиеже, как и на погонах парадных.                                 Кокарда     Кокарда   металлическая,   цельноштампованная,  в  виде   выпуклойовальной розетки золотистого цвета, с позолоченными листьями, в центрекоторой  расположен Государственный герб Кыргызской   Республики,   отободка  герба   до краев кокарда имеет гофрированную  поверхность.   Вцентре  оборотной стороны кокарды клямер для крепления ее к  головномуубору.                                 Эмблема     Эмблема металлическая,  цельноштампованная,   золотистого   цвета.Изображен  круглый щит, в середине которого размещен  тундук.  С  двухсторон за щитом размещены два меча.                             Нарукавный знак     Нарукавный знак изготавливается из шерстяной или  хлопчатобумажнойткани   и  имеет  трапециобразную форму округленную снизу.   В  центрезнака изображен Государственный флаг Кыргызской Республики.  В верхнейчасти  знака  надпись  "Кыргыз Республикасы".  В  нижней  части  знаканадпись  "Салык полициясы" и изображена эмблема. Фон знака  -  черногоцвета с желтыми надписями.                      Нагрудный отличительный знак     Знак металлический,  цельноштампованный,  в виде выпуклой овальнойрозетки.    В   центре   знака  изображение   Государственного   гербаКыргызской Республики на фоне щита с двумя мечами.  Под гербом  указанномер   знака.  Щит  с  мечами  окаймлен  дубовыми  листьями  и  белойленточкой.  На ленточке надпись "Салык полициясы".                                Пуговицы     Для лиц  высшего  и старшего начальствующего состава предусмотреныпуговицы  металлические,  золотистого  цвета.  Верхняя  лицевая  частьвыпуклая   с  рельефным изображением Государственного герба КыргызскойРеспублики.    Диаметр   пуговицы   14-22   мм.   Для   лиц   среднегоначальствующего   состава   предусмотрены   пуговицы    металлические,золотистого  цвета.   Верхняя  лицевая  часть  выпуклая,  с  рельефнымизображением тундука. Диаметр пуговицы 14-22 мм.                              </w:t>
      </w:r>
    </w:p>
    <w:sectPr>
      <w:footerReference w:type="default" r:id="rId7"/>
      <w:pgSz w:w="11906" w:h="16838" w:orient="portrait"/>
      <w:pgMar w:top="864" w:right="864" w:bottom="864" w:left="864"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D0D0D0" w:sz="6" w:space="8"/>
      </w:pBdr>
      <w:spacing w:after="0" w:before="80"/>
      <w:jc w:val="center"/>
    </w:pPr>
    <w:r>
      <w:rPr>
        <w:rFonts w:ascii="Arial" w:cs="Arial" w:eastAsia="Arial" w:hAnsi="Arial"/>
        <w:color w:val="666666"/>
        <w:sz w:val="16"/>
        <w:szCs w:val="16"/>
      </w:rPr>
      <w:t xml:space="preserve">Источник: </w:t>
    </w:r>
    <w:hyperlink w:history="1" r:id="rIdpribfckuefyddtbo8ofjl">
      <w:r>
        <w:rPr>
          <w:rFonts w:ascii="Arial" w:cs="Arial" w:eastAsia="Arial" w:hAnsi="Arial"/>
          <w:color w:val="132D3F"/>
          <w:sz w:val="16"/>
          <w:szCs w:val="16"/>
          <w:u w:val="single"/>
        </w:rPr>
        <w:t xml:space="preserve">dalil.kg/document/35352</w:t>
      </w:r>
    </w:hyperlink>
  </w:p>
  <w:p>
    <w:pPr>
      <w:spacing w:after="0" w:before="40"/>
      <w:jc w:val="center"/>
    </w:pPr>
    <w:hyperlink w:history="1" r:id="rIdv-fj5bowhq8sang6dliyn">
      <w:r>
        <w:rPr>
          <w:rFonts w:ascii="Arial" w:cs="Arial" w:eastAsia="Arial" w:hAnsi="Arial"/>
          <w:color w:val="132D3F"/>
          <w:sz w:val="16"/>
          <w:szCs w:val="16"/>
          <w:u w:val="single"/>
        </w:rPr>
        <w:t xml:space="preserve">dalil.kg</w:t>
      </w:r>
    </w:hyperlink>
    <w:r>
      <w:rPr>
        <w:rFonts w:ascii="Arial" w:cs="Arial" w:eastAsia="Arial" w:hAnsi="Arial"/>
        <w:color w:val="666666"/>
        <w:sz w:val="16"/>
        <w:szCs w:val="16"/>
      </w:rPr>
      <w:t xml:space="preserve"> — правовая библиотека Кыргызской Республики</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style w:type="paragraph" w:default="1" w:styleId="Normal">
    <w:name w:val="Normal"/>
    <w:qFormat/>
    <w:pPr>
      <w:spacing w:after="120" w:line="276"/>
    </w:pPr>
    <w:rPr>
      <w:rFonts w:ascii="Arial" w:cs="Arial" w:eastAsia="Arial" w:hAnsi="Arial"/>
      <w:sz w:val="24"/>
      <w:szCs w:val="24"/>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oter" Target="footer1.xml"/><Relationship Id="rIdq0qxwzzv0x9miu475meqp" Type="http://schemas.openxmlformats.org/officeDocument/2006/relationships/hyperlink" Target="https://dalil.kg/document/55264" TargetMode="External"/><Relationship Id="rIdietqxvpu41vlyhbgkeor1" Type="http://schemas.openxmlformats.org/officeDocument/2006/relationships/hyperlink" Target="https://dalil.kg/document/35353" TargetMode="External"/><Relationship Id="rId8" Type="http://schemas.openxmlformats.org/officeDocument/2006/relationships/image" Target="media/8de64316e95979c063c17bcd5380dc052a2594e9.png"/><Relationship Id="rId11"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Relationship Id="rIdpribfckuefyddtbo8ofjl" Type="http://schemas.openxmlformats.org/officeDocument/2006/relationships/hyperlink" Target="https://dalil.kg/document/35352" TargetMode="External"/><Relationship Id="rIdv-fj5bowhq8sang6dliyn" Type="http://schemas.openxmlformats.org/officeDocument/2006/relationships/hyperlink" Target="https://dalil.kg" TargetMode="External"/></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2026-09-25T08:14:20.512Z</dcterms:created>
  <dcterms:modified xsi:type="dcterms:W3CDTF">2026-09-25T08:14:20.512Z</dcterms:modified>
</cp:coreProperties>
</file>

<file path=docProps/custom.xml><?xml version="1.0" encoding="utf-8"?>
<Properties xmlns="http://schemas.openxmlformats.org/officeDocument/2006/custom-properties" xmlns:vt="http://schemas.openxmlformats.org/officeDocument/2006/docPropsVTypes"/>
</file>