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suguo-nmfvpb0blzjik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1995 года N 270                                 ПОРЯДОК        начисления и взимания акцизного налога на производимые              и ввозимые спирт и ликеро-водочные изделия              (В редакции постановлений Правительства КР от           </w:t>
      </w:r>
      <w:hyperlink w:history="1" r:id="rIdomzqdyk2dichxjjqz9ozg">
        <w:r>
          <w:rPr>
            <w:rFonts w:ascii="Arial" w:cs="Arial" w:eastAsia="Arial" w:hAnsi="Arial"/>
            <w:color w:val="1D4ED8"/>
            <w:sz w:val="24"/>
            <w:szCs w:val="24"/>
            <w:u w:val="single"/>
          </w:rPr>
          <w:t xml:space="preserve">29 марта 1996 года N 137</w:t>
        </w:r>
      </w:hyperlink>
      <w:r>
        <w:rPr>
          <w:rFonts w:ascii="Arial" w:cs="Arial" w:eastAsia="Arial" w:hAnsi="Arial"/>
          <w:sz w:val="24"/>
          <w:szCs w:val="24"/>
        </w:rPr>
        <w:t xml:space="preserve">, </w:t>
      </w:r>
      <w:hyperlink w:history="1" r:id="rIdzdoxdfq6ddsi9fatam8om">
        <w:r>
          <w:rPr>
            <w:rFonts w:ascii="Arial" w:cs="Arial" w:eastAsia="Arial" w:hAnsi="Arial"/>
            <w:color w:val="1D4ED8"/>
            <w:sz w:val="24"/>
            <w:szCs w:val="24"/>
            <w:u w:val="single"/>
          </w:rPr>
          <w:t xml:space="preserve">28 мая 1997 года N 300</w:t>
        </w:r>
      </w:hyperlink>
      <w:r>
        <w:rPr>
          <w:rFonts w:ascii="Arial" w:cs="Arial" w:eastAsia="Arial" w:hAnsi="Arial"/>
          <w:sz w:val="24"/>
          <w:szCs w:val="24"/>
        </w:rPr>
        <w:t xml:space="preserve">)      В настоящем Порядке используются следующие понятия:     "налоговый  контролер" - налоговый инспектор закрепленный приказомдиректора Государственной налоговой инспекции при Министерстве Кыргызс-кой Республики и приказами начальников налоговых  инспекций  районов  игородов за предприятием-производителем;     "спецпотребители"  -  перечень-организаций,  использующих  спирт впроизводственных целях, утвержденный Министерством экономики КыргызскойРеспублики.                     I. Плательщики акцизного налога                            (Утратил силу)                 II. Объекты обложения акцизным налогом                            (Утратил силу)             III. Особые правила взимания акцизного налога на                    спирт и ликеро-водочные изделия      4. При ввозе сырья (патока-меласса, сахар-сырец и другие) для про-изводства  спирта и дальнейшего его экспорта за пределы Кыргызской Рес-публики акцизный налог не взимается, основанием для освобождения от на-лога является представление производителем спирта  грузовой  таможеннойдекларации Государственной таможенной инспекции при Министерстве финан-сов Кыргызской Республики и грузовой таможенной декларации страны ввозаспирта.     5. При ввозе патоки-мелассы или сахара-сырца и другого  сырья  дляпроизводства  спирта и дальнейшей его переработки в ликеро-водочные из-делия заключается трехсторонний контракт  (договор)  между  поставщикомсырья,  производителем спирта и производителем ликеро-водочных изделий,в котором оговариваются сроки вывоза продукции на каждом  этапе  произ-водства (спирта и ликеро-водочной продукции).     6. Обязательным условием контракта (договора) между производителеми экспортером являются установление сроков вывоза спирта или ликеро-во-дочных изделий и представление копий  грузовых  таможенных  деклараций.Копии  контрактов должны представляться налоговому контролеру на предп-риятии-производителе этой продукции.     7. При ввозе спирта для производства ликеро-водочных изделий и  ихэкспорта  акцизный  налог  не взимается, основанием для освобождения отналога является представление  производителем  ликеро-водочных  изделийгрузовой таможенной декларации Государственной таможенной инспекции приМинистерстве  финансов Кыргызской Республики и грузовой таможенной дек-ларации страны ввоза ликеро-водочных изделий.     8. В случае вывоза спирта или ликеро-водочных  изделий  в  меньшихобъемах, чем оговорено в контракте, срок уплаты акцизного налога насту-пает  на  следующий  день установленного в контракте срока вывоза. Пла-тельщиком акцизного налога в данном случае будут  по  спирту  предприя-тие-производитель  спирта,  по  ликеро-водочной  продукции  - предприя-тие-производитель ликеро-водочных изделий.                        IV. Налогооблагаемая база                            (Утратил силу)                V. Сроки уплаты и ставки акцизного налога                            (Утратил силу)                VI. Правила отпуска спирта спецпотребителям      15. Отпуск  спирта,  произведенного и импортируемого,  в целях егоиспользования спецпотребителями производится на  основании  нормативов,утвержденных Министерством экономики Кыргызской Республики,  без уплатыакцизного налога.     16. Спецпотребителям запрещена реализация отпущенного им спирта  иего переработка в ликеро-водочную продукцию.                 VII. Ответственность налогоплательщиков                            (Утратил силу)                      VIII. Ответственность банков                            (Утратил силу)                  IX. Администрирование акцизного налога      22. (Утратил силу)     23. (Утратил силу)     24. (Утратил силу)     25. (Утратил силу)     26. Таможенные инспекции обязаны представлять налоговым инспекциямследующие сведения:     - об объемах ввезенного спирта (виноматериалов);     - о количестве и объемах ввезенных ликеро-водочных изделий;     - об объемах ввезенного сырья  (патока-меласса,  сахар-сырец)  дляпроизводства спирта;     - об объемах фактически вывезенного спирта;     - о количестве и объемах фактически вывезенных ликеро-водочных из-делий.     На основании вышеперечисленной информации налоговая инспекция дол-жна  проконтролировать уплату акцизного налога на ту часть спирта и ли-керо-водочных изделий, которая не вывезена за  границу,  но  указана  вконтрактах.                           X. Разработка форм,                  деклараций и публикация инструкций                            (Утратил силу)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nrl6xdmtqrmqocrviag">
      <w:r>
        <w:rPr>
          <w:rFonts w:ascii="Arial" w:cs="Arial" w:eastAsia="Arial" w:hAnsi="Arial"/>
          <w:color w:val="132D3F"/>
          <w:sz w:val="16"/>
          <w:szCs w:val="16"/>
          <w:u w:val="single"/>
        </w:rPr>
        <w:t xml:space="preserve">dalil.kg/document/36357</w:t>
      </w:r>
    </w:hyperlink>
  </w:p>
  <w:p>
    <w:pPr>
      <w:spacing w:after="0" w:before="40"/>
      <w:jc w:val="center"/>
    </w:pPr>
    <w:hyperlink w:history="1" r:id="rIddzpdao4avhwdq7epsnod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guo-nmfvpb0blzjikyu" Type="http://schemas.openxmlformats.org/officeDocument/2006/relationships/hyperlink" Target="https://dalil.kg/document/36356" TargetMode="External"/><Relationship Id="rIdomzqdyk2dichxjjqz9ozg" Type="http://schemas.openxmlformats.org/officeDocument/2006/relationships/hyperlink" Target="https://dalil.kg/document/35153" TargetMode="External"/><Relationship Id="rIdzdoxdfq6ddsi9fatam8om" Type="http://schemas.openxmlformats.org/officeDocument/2006/relationships/hyperlink" Target="https://dalil.kg/document/344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nrl6xdmtqrmqocrviag" Type="http://schemas.openxmlformats.org/officeDocument/2006/relationships/hyperlink" Target="https://dalil.kg/document/36357" TargetMode="External"/><Relationship Id="rIddzpdao4avhwdq7epsnod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2026-09-24T22:21:10.317Z</dcterms:created>
  <dcterms:modified xsi:type="dcterms:W3CDTF">2026-09-24T22:21:10.317Z</dcterms:modified>
</cp:coreProperties>
</file>

<file path=docProps/custom.xml><?xml version="1.0" encoding="utf-8"?>
<Properties xmlns="http://schemas.openxmlformats.org/officeDocument/2006/custom-properties" xmlns:vt="http://schemas.openxmlformats.org/officeDocument/2006/docPropsVTypes"/>
</file>