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50txgjhh91qmi8y9j2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 августа 1995 года N 325                                ПОЛОЖЕНИЕ                    о порядке использования средств               государственного приватизационного фонда              (В редакции постановлений Правительства КР от         </w:t>
      </w:r>
      <w:hyperlink w:history="1" r:id="rIdvfhc__hib6sd7uhuq2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si8ah3wthccyn4dr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N 421</w:t>
        </w:r>
      </w:hyperlink>
      <w:r>
        <w:rPr>
          <w:rFonts w:ascii="Arial" w:cs="Arial" w:eastAsia="Arial" w:hAnsi="Arial"/>
          <w:sz w:val="24"/>
          <w:szCs w:val="24"/>
        </w:rPr>
        <w:t xml:space="preserve">,        </w:t>
      </w:r>
      <w:hyperlink w:history="1" r:id="rIdsfbij1i1hstg7hrfrg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5w-6ecuzdzqtxo_d1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2000 года N 747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kgcmwyxgyzbkwuzhgz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142</w:t>
        </w:r>
      </w:hyperlink>
      <w:r>
        <w:rPr>
          <w:rFonts w:ascii="Arial" w:cs="Arial" w:eastAsia="Arial" w:hAnsi="Arial"/>
          <w:sz w:val="24"/>
          <w:szCs w:val="24"/>
        </w:rPr>
        <w:t xml:space="preserve">,},</w:t>
      </w:r>
      <w:hyperlink w:history="1" r:id="rIdi3tdcknskqyvlz7sl4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1w1m1-eashlfvfvfstq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№906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-gegdxvswjwf6tj6r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марта 2003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 </w:t>
      </w:r>
      <w:hyperlink w:history="1" r:id="rIdhylu7onpemyhbu95na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разработано в соответствии с Указом  Прези-дента  Кыргызской  Республики  от 11 марта 1995 года "О мерах по совер-шенствованию процессов разгосударствления и приватизации  государствен-ной  собственности" и устанавливает порядок определения и использованияГосударственным комитетом Кыргызской Республики по управлению государ-ственным имуществом   средств  государственного приватизационного фонда.     2. Государственный  приватизационный  фонд формируется из средств,поступающих от приватизации государственного имущества,  в размере, оп-ределяемом решением Правительства Кыргызской Республики, и используетсяв целях, определяемых настоящим Положением.                 II. Порядок определения и формирования               государственного приватизационного фонда      3. Выручка  от приватизации - это средства,  полученные от продажиимущественных комплексов,  предприятий, крупных пакетов акций предприя-тий, преобразуемых в государственные акционерные общества.     4. (Утратил силу постановлением Правительства КР от 30 марта  2001года N 142)                        III. Использование средств               государственного приватизационного фонда      5. Государственный комитет Кыргызской Республики по управлению госу-дарственным имуществом расходует средства государственного приватизацио-нного фонда на следующие статьи:     - расходы на организацию и проведение  работ  по  реорганизации  иликвидации неплатежеспособных предприятий;     - расходы на проведение аукционов по продаже долгов  государствен-ных предприятий;     - оказание финансовой поддержки предприятиям в период санации;     - расходы на рекламу:  публикация объявлений о предстоящих конкур-сах и аукционах в прессе, по радио и телевидению; выпуск информационных карточек, брошюр, бюллетеней и инвестиционных справочников, каталоговинвестиционных проектов и другой печатной продукции;     - расходы на организацию и проведение денежных и купонных  аукцио-нов,  на содержание аукционных центров и приемных пунктов, открытие но-вых приемных пунктов;     - расходы на оплату труда независимых экспертов, которые привлека-ются на проведение оценки имущественных комплексов и их частей,  подле-жащих приватизации, экспертизы проектов приватизации, а также аудиторс-ких служб для осуществления диагностического анализа состояния привати-зируемых предприятий и других работ;     - расходы по компьютеризации процесса приватизации;     - расходы на подготовку специалистов в области исследования эконо-мических процессов,  прогнозирования и управления государственной собс-твенностью;     - на  формирование  специализированного  фонда при Государственноморгане по делам о банкротстве в соответствии с Законом Кыргызской  Рес-публики "О банкротстве (несостоятельности)".    Для  решения неотложных государственных, социальных и экономическихзадач  средства  государственного приватизационного фонда  могут  бытьиспользованы по решению Правительства Кыргызской Республики:   - для финансовой поддержки на условиях возвратности;   - в исключительных случаях на безвозмездной основе.     После принятия  соответствующего решения Правительством КыргызскойРеспублики,  Государственный комитет Кыргызской Республики по управлениюгосударственным имуществом заключает с хозяйствующим субъектом соглашениео порядке и сроках возврата выделенных средств в соответствии с граждан-ским законодательством.(В редакции постановления от 15 июня 2002 года </w:t>
      </w:r>
      <w:hyperlink w:history="1" r:id="rIdx8_lqapxatfihliz5c5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№373</w:t>
        </w:r>
      </w:hyperlink>
      <w:r>
        <w:rPr>
          <w:rFonts w:ascii="Arial" w:cs="Arial" w:eastAsia="Arial" w:hAnsi="Arial"/>
          <w:sz w:val="24"/>
          <w:szCs w:val="24"/>
        </w:rPr>
        <w:t xml:space="preserve">, от 31 декабря 2002 года </w:t>
      </w:r>
      <w:hyperlink w:history="1" r:id="rId38z541gai0_ttur3ga-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IV. Контроль за использованием средств               государственного приватизационного фонда      6. По  истечении  каждого  квартала не позднее 15 числа следующегомесяца Государственный комитет Кыргызской Республики по управлениюгосударственным имуществом  представляет в Министерство финансов Кыргыз-ской Республики отчет об использовании средств государственного привати-зационного фонда.     7. В конце отчетного года Министерство финансов Кыргызской Респуб-лики осуществляет сверку расходов по государственному приватизационномуфонду и производит корректировку с учетом фактического выполнения объе-мов приватизации.     8. В  случае  наличия остатка неиспользованные средства остаются враспоряжении Государственного комитета Кыргызской Республики по упра-влению государственным имуществом  на следующий год.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ehcmwsqdtubr34r8l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dalil.kg/document/36418</w:t>
      </w:r>
    </w:hyperlink>
  </w:p>
  <w:p>
    <w:pPr>
      <w:spacing w:after="0" w:before="40"/>
      <w:jc w:val="center"/>
    </w:pPr>
    <w:hyperlink w:history="1" r:id="rId-yecsnreqinynmilfo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txgjhh91qmi8y9j2gyo" Type="http://schemas.openxmlformats.org/officeDocument/2006/relationships/hyperlink" Target="https://dalil.kg/document/36417" TargetMode="External"/><Relationship Id="rIdvfhc__hib6sd7uhuq2hfu" Type="http://schemas.openxmlformats.org/officeDocument/2006/relationships/hyperlink" Target="https://dalil.kg/document/34649" TargetMode="External"/><Relationship Id="rIdi2si8ah3wthccyn4drnkg" Type="http://schemas.openxmlformats.org/officeDocument/2006/relationships/hyperlink" Target="https://dalil.kg/document/7485" TargetMode="External"/><Relationship Id="rIdsfbij1i1hstg7hrfrgqvn" Type="http://schemas.openxmlformats.org/officeDocument/2006/relationships/hyperlink" Target="https://dalil.kg/document/7595" TargetMode="External"/><Relationship Id="rId35w-6ecuzdzqtxo_d11nz" Type="http://schemas.openxmlformats.org/officeDocument/2006/relationships/hyperlink" Target="https://dalil.kg/document/33045" TargetMode="External"/><Relationship Id="rIdkgcmwyxgyzbkwuzhgzvk_" Type="http://schemas.openxmlformats.org/officeDocument/2006/relationships/hyperlink" Target="https://dalil.kg/document/6702" TargetMode="External"/><Relationship Id="rIdi3tdcknskqyvlz7sl4yuz" Type="http://schemas.openxmlformats.org/officeDocument/2006/relationships/hyperlink" Target="https://dalil.kg/document/53541" TargetMode="External"/><Relationship Id="rId1w1m1-eashlfvfvfstqo4" Type="http://schemas.openxmlformats.org/officeDocument/2006/relationships/hyperlink" Target="https://dalil.kg/document/54121" TargetMode="External"/><Relationship Id="rIdv-gegdxvswjwf6tj6riai" Type="http://schemas.openxmlformats.org/officeDocument/2006/relationships/hyperlink" Target="https://dalil.kg/document/54306" TargetMode="External"/><Relationship Id="rIdhylu7onpemyhbu95nayda" Type="http://schemas.openxmlformats.org/officeDocument/2006/relationships/hyperlink" Target="https://dalil.kg/document/55743" TargetMode="External"/><Relationship Id="rIdx8_lqapxatfihliz5c55d" Type="http://schemas.openxmlformats.org/officeDocument/2006/relationships/hyperlink" Target="https://dalil.kg/document/53541" TargetMode="External"/><Relationship Id="rId38z541gai0_ttur3ga-ae" Type="http://schemas.openxmlformats.org/officeDocument/2006/relationships/hyperlink" Target="https://dalil.kg/document/5412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ehcmwsqdtubr34r8l6-" Type="http://schemas.openxmlformats.org/officeDocument/2006/relationships/hyperlink" Target="https://dalil.kg/document/36418" TargetMode="External"/><Relationship Id="rId-yecsnreqinynmilfos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2026-09-24T07:35:03.665Z</dcterms:created>
  <dcterms:modified xsi:type="dcterms:W3CDTF">2026-09-24T07:35:03.665Z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