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7imt2qvupft6_jygg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20 сентября 2000 года № 77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льгот хозяйствующим субъектам,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осуществляющих строительство объектов, связанных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 празднованием юбилея "Ош-3000"</w:t>
      </w: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              30 июня 2000 года</w:t>
      </w:r>
      <w:r>
        <w:rPr>
          <w:rFonts w:ascii="Arial" w:cs="Arial" w:eastAsia="Arial" w:hAnsi="Arial"/>
          <w:sz w:val="24"/>
          <w:szCs w:val="24"/>
        </w:rPr>
        <w:t xml:space="preserve">Собранием народных представителей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не рассмотрен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Освободить хозяйствующие субъекты, осуществляющие строительство объектов, связанных с празднованием юбилея "Ош-3000", от уплаты процентов, финансовых санкций за просроченную уплату налогов, предусмотренных статьями 63 и 64 Налогового кодекса Кыргызской Республики, возникшую по причине несвоевременного финансирования из государственного бюджета.</w:t>
      </w:r>
      <w:r>
        <w:rPr>
          <w:rFonts w:ascii="Arial" w:cs="Arial" w:eastAsia="Arial" w:hAnsi="Arial"/>
          <w:sz w:val="24"/>
          <w:szCs w:val="24"/>
        </w:rPr>
        <w:t xml:space="preserve">             Перечень хозяйствующих субъектов определяется Правительством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Совокупный годовой доход хозяйствующих субъектов, указанных в статье 1 настоящего Закона, уменьшается на сумму безвозмездно переданных ими материально-технических ресурсов, денежных средств, а также оказанных работ и услуг (кроме работ и услуг, связанных с обслуживанием во время проведения юбилея) Госдирекции "Ош-3000" при Правительстве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со дня подписания и распространяет свое действие на правоотношения, возникшие с 1 апреля 2000 года до начала проведения юбилея.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                                                       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4u67-8phig9bpupro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</w:t>
      </w:r>
    </w:hyperlink>
  </w:p>
  <w:p>
    <w:pPr>
      <w:spacing w:after="0" w:before="40"/>
      <w:jc w:val="center"/>
    </w:pPr>
    <w:hyperlink w:history="1" r:id="rIdput8a65zoypgscrt5u4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imt2qvupft6_jyggchv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4u67-8phig9bpupro29" Type="http://schemas.openxmlformats.org/officeDocument/2006/relationships/hyperlink" Target="https://dalil.kg/document/366" TargetMode="External"/><Relationship Id="rIdput8a65zoypgscrt5u4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2026-09-25T02:27:29.844Z</dcterms:created>
  <dcterms:modified xsi:type="dcterms:W3CDTF">2026-09-25T02:27:29.844Z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