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wqn5mrmtxr0wabqshsvf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31 мая 2022 года УП № 172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  <w:r>
        <w:rPr>
          <w:rFonts w:ascii="Arial" w:cs="Arial" w:eastAsia="Arial" w:hAnsi="Arial"/>
          <w:sz w:val="24"/>
          <w:szCs w:val="24"/>
        </w:rPr>
        <w:t xml:space="preserve">от 11 марта 2003 года УП № 94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глав местного самоуправления во вновь образованных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айыльных и поселковых кенешах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  В связи с принятием законов Кыргызской Республики, предусматривающих  образование новых айыльных кенешей,  руководствуясь подпунктом 4  пункта 6 статьи 46 </w:t>
      </w:r>
      <w:hyperlink w:history="1" r:id="rIda3kbecv31l_n5zdj-4x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 статьями 82, 92 </w:t>
      </w:r>
      <w:hyperlink w:history="1" r:id="rIdid36pto1cmrjcpspxkr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  а  также частью  третьей  статьи  8  </w:t>
      </w:r>
      <w:hyperlink w:history="1" r:id="rIdu5tanedj0zl2eosk4x_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  статусе депутатов местных кенешей", постановляю:</w:t>
      </w:r>
      <w:r>
        <w:rPr>
          <w:rFonts w:ascii="Arial" w:cs="Arial" w:eastAsia="Arial" w:hAnsi="Arial"/>
          <w:sz w:val="24"/>
          <w:szCs w:val="24"/>
        </w:rPr>
        <w:t xml:space="preserve">             1. Назначить выборы депутатов  в Тепе-Коргонский, Нурабадский айыльные кенеши Араванского района, Мырза-Акинский, Алтын-Булакский айыльные  кенеши  Узгенского района Ошской области на воскресенье, 11 мая 2003 года.</w:t>
      </w:r>
      <w:r>
        <w:rPr>
          <w:rFonts w:ascii="Arial" w:cs="Arial" w:eastAsia="Arial" w:hAnsi="Arial"/>
          <w:sz w:val="24"/>
          <w:szCs w:val="24"/>
        </w:rPr>
        <w:t xml:space="preserve">             2. Назначить выборы глав местного самоуправления в Нурабадский айыльный кенеш Араванского района, Алтын-Булакский айыльный кенеш Узгенского района Ошской области на воскресенье, 11 мая 2003 года.</w:t>
      </w:r>
      <w:r>
        <w:rPr>
          <w:rFonts w:ascii="Arial" w:cs="Arial" w:eastAsia="Arial" w:hAnsi="Arial"/>
          <w:sz w:val="24"/>
          <w:szCs w:val="24"/>
        </w:rPr>
        <w:t xml:space="preserve">             3.  Центральной комиссии  по  выборам  и проведению  референдумов Кыргызской Республики организовать проведение выборов в соответствии с законодательством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         4. Правительству 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             - в  установленные законодательством Кыргызской Республики сроки выделить в  распоряжение Центральной комиссии по выборам и проведению референдумов Кыргызской Республики соответствующую сумму для проведения выборов;</w:t>
      </w:r>
      <w:r>
        <w:rPr>
          <w:rFonts w:ascii="Arial" w:cs="Arial" w:eastAsia="Arial" w:hAnsi="Arial"/>
          <w:sz w:val="24"/>
          <w:szCs w:val="24"/>
        </w:rPr>
        <w:t xml:space="preserve">             - в период подготовки и проведения выборов обеспечить общественный порядок, соблюдение Конституции и законов Кыргызской Республики. </w:t>
      </w:r>
      <w:r>
        <w:rPr>
          <w:rFonts w:ascii="Arial" w:cs="Arial" w:eastAsia="Arial" w:hAnsi="Arial"/>
          <w:sz w:val="24"/>
          <w:szCs w:val="24"/>
        </w:rPr>
        <w:t xml:space="preserve">             5. Главам местных государственных администраций и органов местного самоуправления оказать содействие избирательным комиссиям в решении организационных и материально-технических вопросов при подготовке  и проведении выборов.</w:t>
      </w:r>
      <w:r>
        <w:rPr>
          <w:rFonts w:ascii="Arial" w:cs="Arial" w:eastAsia="Arial" w:hAnsi="Arial"/>
          <w:sz w:val="24"/>
          <w:szCs w:val="24"/>
        </w:rPr>
        <w:t xml:space="preserve">             6. Контроль за исполнением настоящего Указа возложить  на отдел организационной работы и политики государственного управления Администрации Президента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         7. Настоящий Указ вступает в силу со дня подписания.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n5mrmtxr0wabqshsvfo" Type="http://schemas.openxmlformats.org/officeDocument/2006/relationships/hyperlink" Target="http://kodeks.duckdns.org/document/430967" TargetMode="External"/><Relationship Id="rIda3kbecv31l_n5zdj-4xmq" Type="http://schemas.openxmlformats.org/officeDocument/2006/relationships/hyperlink" Target="http://kodeks.duckdns.org/document/1" TargetMode="External"/><Relationship Id="rIdid36pto1cmrjcpspxkrv8" Type="http://schemas.openxmlformats.org/officeDocument/2006/relationships/hyperlink" Target="http://kodeks.duckdns.org/document/7" TargetMode="External"/><Relationship Id="rIdu5tanedj0zl2eosk4x_ov" Type="http://schemas.openxmlformats.org/officeDocument/2006/relationships/hyperlink" Target="http://kodeks.duckdns.org/document/31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2026-09-23T06:14:49.038Z</dcterms:created>
  <dcterms:modified xsi:type="dcterms:W3CDTF">2026-09-23T06:14:49.038Z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