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 
 </w:t>
      </w:r>
      <w:hyperlink w:history="1" r:id="rIdfuxjzyelm_5l6civaao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2004 года N 873</w:t>
      </w:r>
    </w:p>
    <w:p>
      <w:pPr>
        <w:spacing w:after="400" w:before="400"/>
        <w:jc w:val="center"/>
      </w:pPr>
      <w:r>
        <w:rPr>
          <w:rFonts w:ascii="Arial" w:cs="Arial" w:eastAsia="Arial" w:hAnsi="Arial"/>
          <w:b/>
          <w:bCs/>
          <w:sz w:val="32"/>
          <w:szCs w:val="32"/>
        </w:rPr>
        <w:t xml:space="preserve">УСТАВ </w:t>
      </w:r>
      <w:r>
        <w:rPr>
          <w:rFonts w:ascii="Arial" w:cs="Arial" w:eastAsia="Arial" w:hAnsi="Arial"/>
          <w:b/>
          <w:bCs/>
          <w:sz w:val="32"/>
          <w:szCs w:val="32"/>
        </w:rPr>
        <w:t xml:space="preserve">
 Центра конкурентоспособности агробизнеса</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mhuvnqcfyo9jcxlwdvba0">
        <w:r>
          <w:rPr>
            <w:rFonts w:ascii="Arial" w:cs="Arial" w:eastAsia="Arial" w:hAnsi="Arial"/>
            <w:i/>
            <w:iCs/>
            <w:color w:val="1D4ED8"/>
            <w:sz w:val="24"/>
            <w:szCs w:val="24"/>
            <w:u w:val="single"/>
          </w:rPr>
          <w:t xml:space="preserve">28 марта 2006 года N 203</w:t>
        </w:r>
      </w:hyperlink>
      <w:r>
        <w:rPr>
          <w:rFonts w:ascii="Arial" w:cs="Arial" w:eastAsia="Arial" w:hAnsi="Arial"/>
          <w:i/>
          <w:iCs/>
          <w:sz w:val="24"/>
          <w:szCs w:val="24"/>
        </w:rPr>
        <w:t xml:space="preserve">, </w:t>
      </w:r>
      <w:hyperlink w:history="1" r:id="rIdxblxn-mk8gm4ydpe86yiw">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Основной деятельностью Центра конкурентоспособности агробизнеса (далее - Центр) является поддержка производителей агропромышленной продукции Кыргызской Республики, занимающихся производством, переработкой и продажей сельскохозяйственной продукции.</w:t>
      </w:r>
    </w:p>
    <w:p>
      <w:pPr>
        <w:spacing w:after="60"/>
        <w:ind w:firstLine="567"/>
        <w:jc w:val="both"/>
      </w:pPr>
      <w:r>
        <w:rPr>
          <w:rFonts w:ascii="Arial" w:cs="Arial" w:eastAsia="Arial" w:hAnsi="Arial"/>
          <w:sz w:val="24"/>
          <w:szCs w:val="24"/>
        </w:rPr>
        <w:t xml:space="preserve">2. Центр является некоммерческой организацией (учреждением) со статусом юридического лица. Центр приобретает статус юридического лица, а также права и обязанности по осуществлению своей деятельности с момента его государственной регистрации и может выступать в качестве истца и ответчика в суде.</w:t>
      </w:r>
    </w:p>
    <w:p>
      <w:pPr>
        <w:spacing w:after="60"/>
        <w:ind w:firstLine="567"/>
        <w:jc w:val="both"/>
      </w:pPr>
      <w:r>
        <w:rPr>
          <w:rFonts w:ascii="Arial" w:cs="Arial" w:eastAsia="Arial" w:hAnsi="Arial"/>
          <w:sz w:val="24"/>
          <w:szCs w:val="24"/>
        </w:rPr>
        <w:t xml:space="preserve">3. Учредителем Центра является Правительство Кыргызской Республики.</w:t>
      </w:r>
    </w:p>
    <w:p>
      <w:pPr>
        <w:spacing w:after="60"/>
        <w:ind w:firstLine="567"/>
        <w:jc w:val="both"/>
      </w:pPr>
      <w:r>
        <w:rPr>
          <w:rFonts w:ascii="Arial" w:cs="Arial" w:eastAsia="Arial" w:hAnsi="Arial"/>
          <w:sz w:val="24"/>
          <w:szCs w:val="24"/>
        </w:rPr>
        <w:t xml:space="preserve">4. В своей деятельности Центр руководствуется законодательными актами Кыргызской Республики, международными соглашениями и договорами, заключенными Кыргызской Республикой, положениями настоящего Устава, актами руководства Центра.</w:t>
      </w:r>
    </w:p>
    <w:p>
      <w:pPr>
        <w:spacing w:after="60"/>
        <w:ind w:firstLine="567"/>
        <w:jc w:val="both"/>
      </w:pPr>
      <w:r>
        <w:rPr>
          <w:rFonts w:ascii="Arial" w:cs="Arial" w:eastAsia="Arial" w:hAnsi="Arial"/>
          <w:sz w:val="24"/>
          <w:szCs w:val="24"/>
        </w:rPr>
        <w:t xml:space="preserve">5. Делопроизводство Центра осуществляется на кыргызском, русском и английском языках. Рабочими языками являются: кыргызский, русский и английский.</w:t>
      </w:r>
    </w:p>
    <w:p>
      <w:pPr>
        <w:spacing w:after="60"/>
        <w:ind w:firstLine="567"/>
        <w:jc w:val="both"/>
      </w:pPr>
      <w:r>
        <w:rPr>
          <w:rFonts w:ascii="Arial" w:cs="Arial" w:eastAsia="Arial" w:hAnsi="Arial"/>
          <w:sz w:val="24"/>
          <w:szCs w:val="24"/>
        </w:rPr>
        <w:t xml:space="preserve">6. Полное официальное наименование Центра:</w:t>
      </w:r>
    </w:p>
    <w:p>
      <w:pPr>
        <w:spacing w:after="60"/>
        <w:ind w:firstLine="567"/>
        <w:jc w:val="both"/>
      </w:pPr>
      <w:r>
        <w:rPr>
          <w:rFonts w:ascii="Arial" w:cs="Arial" w:eastAsia="Arial" w:hAnsi="Arial"/>
          <w:sz w:val="24"/>
          <w:szCs w:val="24"/>
        </w:rPr>
        <w:t xml:space="preserve">на кыргызском языке: Агробизнестин атаандаштыкка жондомдуулук борбору;</w:t>
      </w:r>
    </w:p>
    <w:p>
      <w:pPr>
        <w:spacing w:after="60"/>
        <w:ind w:firstLine="567"/>
        <w:jc w:val="both"/>
      </w:pPr>
      <w:r>
        <w:rPr>
          <w:rFonts w:ascii="Arial" w:cs="Arial" w:eastAsia="Arial" w:hAnsi="Arial"/>
          <w:sz w:val="24"/>
          <w:szCs w:val="24"/>
        </w:rPr>
        <w:t xml:space="preserve">на русском языке: Центр конкурентоспособности агробизнеса;</w:t>
      </w:r>
    </w:p>
    <w:p>
      <w:pPr>
        <w:spacing w:after="60"/>
        <w:ind w:firstLine="567"/>
        <w:jc w:val="both"/>
      </w:pPr>
      <w:r>
        <w:rPr>
          <w:rFonts w:ascii="Arial" w:cs="Arial" w:eastAsia="Arial" w:hAnsi="Arial"/>
          <w:sz w:val="24"/>
          <w:szCs w:val="24"/>
        </w:rPr>
        <w:t xml:space="preserve">на английском языке</w:t>
      </w:r>
      <w:r>
        <w:rPr>
          <w:rFonts w:ascii="Arial" w:cs="Arial" w:eastAsia="Arial" w:hAnsi="Arial"/>
          <w:sz w:val="24"/>
          <w:szCs w:val="24"/>
        </w:rPr>
        <w:t xml:space="preserve">: Agribusiness Competitiveness Center;</w:t>
      </w:r>
    </w:p>
    <w:p>
      <w:pPr>
        <w:spacing w:after="60"/>
        <w:ind w:firstLine="567"/>
        <w:jc w:val="both"/>
      </w:pPr>
      <w:r>
        <w:rPr>
          <w:rFonts w:ascii="Arial" w:cs="Arial" w:eastAsia="Arial" w:hAnsi="Arial"/>
          <w:sz w:val="24"/>
          <w:szCs w:val="24"/>
        </w:rPr>
        <w:t xml:space="preserve">сокращенное наименование Центра:</w:t>
      </w:r>
    </w:p>
    <w:p>
      <w:pPr>
        <w:spacing w:after="60"/>
        <w:ind w:firstLine="567"/>
        <w:jc w:val="both"/>
      </w:pPr>
      <w:r>
        <w:rPr>
          <w:rFonts w:ascii="Arial" w:cs="Arial" w:eastAsia="Arial" w:hAnsi="Arial"/>
          <w:sz w:val="24"/>
          <w:szCs w:val="24"/>
        </w:rPr>
        <w:t xml:space="preserve">на кыргызском языке: ААЖБ;</w:t>
      </w:r>
    </w:p>
    <w:p>
      <w:pPr>
        <w:spacing w:after="60"/>
        <w:ind w:firstLine="567"/>
        <w:jc w:val="both"/>
      </w:pPr>
      <w:r>
        <w:rPr>
          <w:rFonts w:ascii="Arial" w:cs="Arial" w:eastAsia="Arial" w:hAnsi="Arial"/>
          <w:sz w:val="24"/>
          <w:szCs w:val="24"/>
        </w:rPr>
        <w:t xml:space="preserve">на русском языке: ЦКА;</w:t>
      </w:r>
    </w:p>
    <w:p>
      <w:pPr>
        <w:spacing w:after="60"/>
        <w:ind w:firstLine="567"/>
        <w:jc w:val="both"/>
      </w:pPr>
      <w:r>
        <w:rPr>
          <w:rFonts w:ascii="Arial" w:cs="Arial" w:eastAsia="Arial" w:hAnsi="Arial"/>
          <w:sz w:val="24"/>
          <w:szCs w:val="24"/>
        </w:rPr>
        <w:t xml:space="preserve">на английском языке: ABCC.</w:t>
      </w:r>
    </w:p>
    <w:p>
      <w:pPr>
        <w:spacing w:after="60"/>
        <w:ind w:firstLine="567"/>
        <w:jc w:val="both"/>
      </w:pPr>
      <w:r>
        <w:rPr>
          <w:rFonts w:ascii="Arial" w:cs="Arial" w:eastAsia="Arial" w:hAnsi="Arial"/>
          <w:sz w:val="24"/>
          <w:szCs w:val="24"/>
        </w:rPr>
        <w:t xml:space="preserve">7. Местонахождение Центра: Кыргызская Республика, город Бишкек, проспект Чуй, 114, каб. 306.</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jea8vcmurcl96fxod_eu">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Центр вправе учреждать свои представительства и филиалы на всей территории Кыргызской Республики.</w:t>
      </w:r>
    </w:p>
    <w:p>
      <w:pPr>
        <w:spacing w:after="60"/>
        <w:ind w:firstLine="567"/>
        <w:jc w:val="both"/>
      </w:pPr>
      <w:r>
        <w:rPr>
          <w:rFonts w:ascii="Arial" w:cs="Arial" w:eastAsia="Arial" w:hAnsi="Arial"/>
          <w:sz w:val="24"/>
          <w:szCs w:val="24"/>
        </w:rPr>
        <w:t xml:space="preserve">9. При выполнении своих целей и задач Центр строго придерживается основополагающих принципов деятельности и сотрудничества: беспристрастности, объективности, честности, прозрачности, вовлечения и партнерства, эффективности, автономии, экологической безопасности.</w:t>
      </w:r>
    </w:p>
    <w:p>
      <w:pPr>
        <w:spacing w:after="200" w:before="200"/>
        <w:jc w:val="center"/>
      </w:pPr>
      <w:r>
        <w:rPr>
          <w:rFonts w:ascii="Arial" w:cs="Arial" w:eastAsia="Arial" w:hAnsi="Arial"/>
          <w:b/>
          <w:bCs/>
          <w:sz w:val="24"/>
          <w:szCs w:val="24"/>
        </w:rPr>
        <w:t xml:space="preserve">II. Основные цели Центра</w:t>
      </w:r>
    </w:p>
    <w:p>
      <w:pPr>
        <w:spacing w:after="60"/>
        <w:ind w:firstLine="567"/>
        <w:jc w:val="both"/>
      </w:pPr>
      <w:r>
        <w:rPr>
          <w:rFonts w:ascii="Arial" w:cs="Arial" w:eastAsia="Arial" w:hAnsi="Arial"/>
          <w:sz w:val="24"/>
          <w:szCs w:val="24"/>
        </w:rPr>
        <w:t xml:space="preserve">10. Основными целями Центра являются оказание поддержки производителям агропромышленной продукции Кыргызской Республики, занимающихся производством, переработкой и продажей сельскохозяйственной продукции, путем усиления их способностей и навыков по управлению агробизнесом и улучшению элементов бизнес-среды, подготовки местных профессиональных кадров в области управленческого консалтинга, а также становление Центра как самостоятельной консалтинговой компании.</w:t>
      </w:r>
    </w:p>
    <w:p>
      <w:pPr>
        <w:spacing w:after="200" w:before="200"/>
        <w:jc w:val="center"/>
      </w:pPr>
      <w:r>
        <w:rPr>
          <w:rFonts w:ascii="Arial" w:cs="Arial" w:eastAsia="Arial" w:hAnsi="Arial"/>
          <w:b/>
          <w:bCs/>
          <w:sz w:val="24"/>
          <w:szCs w:val="24"/>
        </w:rPr>
        <w:t xml:space="preserve">III. Основные задачи и направления деятельности Центра</w:t>
      </w:r>
    </w:p>
    <w:p>
      <w:pPr>
        <w:spacing w:after="60"/>
        <w:ind w:firstLine="567"/>
        <w:jc w:val="both"/>
      </w:pPr>
      <w:r>
        <w:rPr>
          <w:rFonts w:ascii="Arial" w:cs="Arial" w:eastAsia="Arial" w:hAnsi="Arial"/>
          <w:sz w:val="24"/>
          <w:szCs w:val="24"/>
        </w:rPr>
        <w:t xml:space="preserve">11. Основными задачами и направлениями деятельности Центра являются:</w:t>
      </w:r>
    </w:p>
    <w:p>
      <w:pPr>
        <w:spacing w:after="60"/>
        <w:ind w:firstLine="567"/>
        <w:jc w:val="both"/>
      </w:pPr>
      <w:r>
        <w:rPr>
          <w:rFonts w:ascii="Arial" w:cs="Arial" w:eastAsia="Arial" w:hAnsi="Arial"/>
          <w:sz w:val="24"/>
          <w:szCs w:val="24"/>
        </w:rPr>
        <w:t xml:space="preserve">- поддержка производителей агропромышленной продукции, занимающихся производством, переработкой и продажей сельскохозяйственной продукции, путем обучения и повышения уровня их знаний, предоставления информации по улучшению бизнес-среды;</w:t>
      </w:r>
    </w:p>
    <w:p>
      <w:pPr>
        <w:spacing w:after="60"/>
        <w:ind w:firstLine="567"/>
        <w:jc w:val="both"/>
      </w:pPr>
      <w:r>
        <w:rPr>
          <w:rFonts w:ascii="Arial" w:cs="Arial" w:eastAsia="Arial" w:hAnsi="Arial"/>
          <w:sz w:val="24"/>
          <w:szCs w:val="24"/>
        </w:rPr>
        <w:t xml:space="preserve">- повышение экспортного потенциала производителей агропромышленной продукции путем информационного обеспечения, предоставления консультаций и организации обучения по вопросам внешней торговли;</w:t>
      </w:r>
    </w:p>
    <w:p>
      <w:pPr>
        <w:spacing w:after="60"/>
        <w:ind w:firstLine="567"/>
        <w:jc w:val="both"/>
      </w:pPr>
      <w:r>
        <w:rPr>
          <w:rFonts w:ascii="Arial" w:cs="Arial" w:eastAsia="Arial" w:hAnsi="Arial"/>
          <w:sz w:val="24"/>
          <w:szCs w:val="24"/>
        </w:rPr>
        <w:t xml:space="preserve">- предоставление консультаций производителям агропромышленной продукции по широкому спектру ведения агробизнеса;</w:t>
      </w:r>
    </w:p>
    <w:p>
      <w:pPr>
        <w:spacing w:after="60"/>
        <w:ind w:firstLine="567"/>
        <w:jc w:val="both"/>
      </w:pPr>
      <w:r>
        <w:rPr>
          <w:rFonts w:ascii="Arial" w:cs="Arial" w:eastAsia="Arial" w:hAnsi="Arial"/>
          <w:sz w:val="24"/>
          <w:szCs w:val="24"/>
        </w:rPr>
        <w:t xml:space="preserve">- организация и проведение обучения местных консультантов по вопросам управления предприятиями агробизнеса, ведения надлежащего управления растениеводством и животноводством;</w:t>
      </w:r>
    </w:p>
    <w:p>
      <w:pPr>
        <w:spacing w:after="60"/>
        <w:ind w:firstLine="567"/>
        <w:jc w:val="both"/>
      </w:pPr>
      <w:r>
        <w:rPr>
          <w:rFonts w:ascii="Arial" w:cs="Arial" w:eastAsia="Arial" w:hAnsi="Arial"/>
          <w:sz w:val="24"/>
          <w:szCs w:val="24"/>
        </w:rPr>
        <w:t xml:space="preserve">- проведение тендерных процедур в установленном порядке;</w:t>
      </w:r>
    </w:p>
    <w:p>
      <w:pPr>
        <w:spacing w:after="60"/>
        <w:ind w:firstLine="567"/>
        <w:jc w:val="both"/>
      </w:pPr>
      <w:r>
        <w:rPr>
          <w:rFonts w:ascii="Arial" w:cs="Arial" w:eastAsia="Arial" w:hAnsi="Arial"/>
          <w:sz w:val="24"/>
          <w:szCs w:val="24"/>
        </w:rPr>
        <w:t xml:space="preserve">- проведение маркетинговых исследований в сфере агропромышленного комплекса по заказу донорских организаций, агробизнеса и государственных органов Кыргызской Республики;</w:t>
      </w:r>
    </w:p>
    <w:p>
      <w:pPr>
        <w:spacing w:after="60"/>
        <w:ind w:firstLine="567"/>
        <w:jc w:val="both"/>
      </w:pPr>
      <w:r>
        <w:rPr>
          <w:rFonts w:ascii="Arial" w:cs="Arial" w:eastAsia="Arial" w:hAnsi="Arial"/>
          <w:sz w:val="24"/>
          <w:szCs w:val="24"/>
        </w:rPr>
        <w:t xml:space="preserve">- подготовка проектных предложений, реализация проектов международных донорских организаций в сфере сельского хозяйства и агробизнеса.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xkfw_ucmn_aobglvxlel">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IV. Источники финансирования и имущество Центра</w:t>
      </w:r>
    </w:p>
    <w:p>
      <w:pPr>
        <w:spacing w:after="60"/>
        <w:ind w:firstLine="567"/>
        <w:jc w:val="both"/>
      </w:pPr>
      <w:r>
        <w:rPr>
          <w:rFonts w:ascii="Arial" w:cs="Arial" w:eastAsia="Arial" w:hAnsi="Arial"/>
          <w:sz w:val="24"/>
          <w:szCs w:val="24"/>
        </w:rPr>
        <w:t xml:space="preserve">12. Источниками финансирования деятельности Центра являются средства, выделенные учредителем, а также иные источники,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13. Имущество Центра образуется за счет:</w:t>
      </w:r>
    </w:p>
    <w:p>
      <w:pPr>
        <w:spacing w:after="60"/>
        <w:ind w:firstLine="567"/>
        <w:jc w:val="both"/>
      </w:pPr>
      <w:r>
        <w:rPr>
          <w:rFonts w:ascii="Arial" w:cs="Arial" w:eastAsia="Arial" w:hAnsi="Arial"/>
          <w:sz w:val="24"/>
          <w:szCs w:val="24"/>
        </w:rPr>
        <w:t xml:space="preserve">- средств и имущества из государственного бюджета, переданных Центру;</w:t>
      </w:r>
    </w:p>
    <w:p>
      <w:pPr>
        <w:spacing w:after="60"/>
        <w:ind w:firstLine="567"/>
        <w:jc w:val="both"/>
      </w:pPr>
      <w:r>
        <w:rPr>
          <w:rFonts w:ascii="Arial" w:cs="Arial" w:eastAsia="Arial" w:hAnsi="Arial"/>
          <w:sz w:val="24"/>
          <w:szCs w:val="24"/>
        </w:rPr>
        <w:t xml:space="preserve">- средств и имущества, поступающих посредством грантов, кредитов, ссуд и займов;</w:t>
      </w:r>
    </w:p>
    <w:p>
      <w:pPr>
        <w:spacing w:after="60"/>
        <w:ind w:firstLine="567"/>
        <w:jc w:val="both"/>
      </w:pPr>
      <w:r>
        <w:rPr>
          <w:rFonts w:ascii="Arial" w:cs="Arial" w:eastAsia="Arial" w:hAnsi="Arial"/>
          <w:sz w:val="24"/>
          <w:szCs w:val="24"/>
        </w:rPr>
        <w:t xml:space="preserve">- добровольных перечислений юридических лиц Кыргызской Республики и зарубежных государств, а также отдельных граждан;</w:t>
      </w:r>
    </w:p>
    <w:p>
      <w:pPr>
        <w:spacing w:after="60"/>
        <w:ind w:firstLine="567"/>
        <w:jc w:val="both"/>
      </w:pPr>
      <w:r>
        <w:rPr>
          <w:rFonts w:ascii="Arial" w:cs="Arial" w:eastAsia="Arial" w:hAnsi="Arial"/>
          <w:sz w:val="24"/>
          <w:szCs w:val="24"/>
        </w:rPr>
        <w:t xml:space="preserve">- средств, поступающих за оказываемые Центром услуги клиентам;</w:t>
      </w:r>
    </w:p>
    <w:p>
      <w:pPr>
        <w:spacing w:after="60"/>
        <w:ind w:firstLine="567"/>
        <w:jc w:val="both"/>
      </w:pPr>
      <w:r>
        <w:rPr>
          <w:rFonts w:ascii="Arial" w:cs="Arial" w:eastAsia="Arial" w:hAnsi="Arial"/>
          <w:sz w:val="24"/>
          <w:szCs w:val="24"/>
        </w:rPr>
        <w:t xml:space="preserve">-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14. Центр имеет право оперативного управления своим имуществом. Центр владеет имуществом, использует и распоряжается им в соответствии со </w:t>
      </w:r>
      <w:r>
        <w:rPr>
          <w:rFonts w:ascii="Arial" w:cs="Arial" w:eastAsia="Arial" w:hAnsi="Arial"/>
          <w:sz w:val="24"/>
          <w:szCs w:val="24"/>
        </w:rPr>
        <w:t xml:space="preserve">статьей 231</w:t>
      </w:r>
      <w:r>
        <w:rPr>
          <w:rFonts w:ascii="Arial" w:cs="Arial" w:eastAsia="Arial" w:hAnsi="Arial"/>
          <w:sz w:val="24"/>
          <w:szCs w:val="24"/>
        </w:rPr>
        <w:t xml:space="preserve"> Гражданского </w:t>
      </w:r>
      <w:hyperlink w:history="1" r:id="rId0re8mgktzalqjbhx16vu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Доходы, полученные от оказания услуг клиентам, и приобретенное за счет этих доходов имущество поступают в самостоятельное распоряжение Центра и учитываются на отдельном балансе.</w:t>
      </w:r>
    </w:p>
    <w:p>
      <w:pPr>
        <w:spacing w:after="60"/>
        <w:ind w:firstLine="567"/>
        <w:jc w:val="both"/>
      </w:pPr>
      <w:r>
        <w:rPr>
          <w:rFonts w:ascii="Arial" w:cs="Arial" w:eastAsia="Arial" w:hAnsi="Arial"/>
          <w:sz w:val="24"/>
          <w:szCs w:val="24"/>
        </w:rPr>
        <w:t xml:space="preserve">При недостаточности ресурсов Центра для покрытия своих обязательств ответственность по таким обязательствам осуществляется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uwbq63j_m6lrzbr4vql">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Все средства используются в соответствии с утвержденным бюджетом, а также согласно Положению об использовании средств Центра, утверждаемому директором. Денежные средства, накопленные Центром, в государственный бюджет не перечисляются.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szv02fhv3fuwhecl16q2">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Финансовый и операционный год Центра начинается 1 января и заканчивается 31 декабря каждого года, за исключением первого года создания и работы Центра. Один раз в год, по окончании финансового/операционного года, Центр проводит внешний аудит своих финансовых ресурсов и деятельности.</w:t>
      </w:r>
    </w:p>
    <w:p>
      <w:pPr>
        <w:spacing w:after="200" w:before="200"/>
        <w:jc w:val="center"/>
      </w:pPr>
      <w:r>
        <w:rPr>
          <w:rFonts w:ascii="Arial" w:cs="Arial" w:eastAsia="Arial" w:hAnsi="Arial"/>
          <w:b/>
          <w:bCs/>
          <w:sz w:val="24"/>
          <w:szCs w:val="24"/>
        </w:rPr>
        <w:t xml:space="preserve">V. Органы управления Центром</w:t>
      </w:r>
    </w:p>
    <w:p>
      <w:pPr>
        <w:spacing w:after="60"/>
        <w:ind w:firstLine="567"/>
        <w:jc w:val="both"/>
      </w:pPr>
      <w:r>
        <w:rPr>
          <w:rFonts w:ascii="Arial" w:cs="Arial" w:eastAsia="Arial" w:hAnsi="Arial"/>
          <w:sz w:val="24"/>
          <w:szCs w:val="24"/>
        </w:rPr>
        <w:t xml:space="preserve">17. Органами управления Центра являются наблюдательный совет и директор. Порядок формирования наблюдательного совета и назначения директора Центра, а также их полномочия определяются настоящим Уставом.</w:t>
      </w:r>
    </w:p>
    <w:p>
      <w:pPr>
        <w:spacing w:after="200" w:before="200"/>
        <w:jc w:val="center"/>
      </w:pPr>
      <w:r>
        <w:rPr>
          <w:rFonts w:ascii="Arial" w:cs="Arial" w:eastAsia="Arial" w:hAnsi="Arial"/>
          <w:b/>
          <w:bCs/>
          <w:sz w:val="24"/>
          <w:szCs w:val="24"/>
        </w:rPr>
        <w:t xml:space="preserve">VI. Наблюдательный совет Центра</w:t>
      </w:r>
    </w:p>
    <w:p>
      <w:pPr>
        <w:spacing w:after="60"/>
        <w:ind w:firstLine="567"/>
        <w:jc w:val="both"/>
      </w:pPr>
      <w:r>
        <w:rPr>
          <w:rFonts w:ascii="Arial" w:cs="Arial" w:eastAsia="Arial" w:hAnsi="Arial"/>
          <w:sz w:val="24"/>
          <w:szCs w:val="24"/>
        </w:rPr>
        <w:t xml:space="preserve">18. В состав наблюдательного совета в количестве 7 человек, входят:</w:t>
      </w:r>
    </w:p>
    <w:p>
      <w:pPr>
        <w:spacing w:after="60"/>
        <w:ind w:firstLine="567"/>
        <w:jc w:val="both"/>
      </w:pPr>
      <w:r>
        <w:rPr>
          <w:rFonts w:ascii="Arial" w:cs="Arial" w:eastAsia="Arial" w:hAnsi="Arial"/>
          <w:sz w:val="24"/>
          <w:szCs w:val="24"/>
        </w:rPr>
        <w:t xml:space="preserve">- представитель Министерства сельского хозяйства, пищевой промышленности и мелиорации Кыргызской Республики, назначаемый министром из числа работников министерства (по должности), который является председателем Совета;</w:t>
      </w:r>
    </w:p>
    <w:p>
      <w:pPr>
        <w:spacing w:after="60"/>
        <w:ind w:firstLine="567"/>
        <w:jc w:val="both"/>
      </w:pPr>
      <w:r>
        <w:rPr>
          <w:rFonts w:ascii="Arial" w:cs="Arial" w:eastAsia="Arial" w:hAnsi="Arial"/>
          <w:sz w:val="24"/>
          <w:szCs w:val="24"/>
        </w:rPr>
        <w:t xml:space="preserve">- представитель Министерства финансов Кыргызской Республики, назначаемый министром из числа его сотрудников (по должности);</w:t>
      </w:r>
    </w:p>
    <w:p>
      <w:pPr>
        <w:spacing w:after="60"/>
        <w:ind w:firstLine="567"/>
        <w:jc w:val="both"/>
      </w:pPr>
      <w:r>
        <w:rPr>
          <w:rFonts w:ascii="Arial" w:cs="Arial" w:eastAsia="Arial" w:hAnsi="Arial"/>
          <w:sz w:val="24"/>
          <w:szCs w:val="24"/>
        </w:rPr>
        <w:t xml:space="preserve">- представитель Министерства экономики Кыргызской Республики, назначаемый министром из числа работников министерства (по должности);</w:t>
      </w:r>
    </w:p>
    <w:p>
      <w:pPr>
        <w:spacing w:after="60"/>
        <w:ind w:firstLine="567"/>
        <w:jc w:val="both"/>
      </w:pPr>
      <w:r>
        <w:rPr>
          <w:rFonts w:ascii="Arial" w:cs="Arial" w:eastAsia="Arial" w:hAnsi="Arial"/>
          <w:sz w:val="24"/>
          <w:szCs w:val="24"/>
        </w:rPr>
        <w:t xml:space="preserve">- представитель Торгово-промышленной палаты Кыргызской Республики, назначаемый председателем палаты из числа ее работников (по должности);</w:t>
      </w:r>
    </w:p>
    <w:p>
      <w:pPr>
        <w:spacing w:after="60"/>
        <w:ind w:firstLine="567"/>
        <w:jc w:val="both"/>
      </w:pPr>
      <w:r>
        <w:rPr>
          <w:rFonts w:ascii="Arial" w:cs="Arial" w:eastAsia="Arial" w:hAnsi="Arial"/>
          <w:sz w:val="24"/>
          <w:szCs w:val="24"/>
        </w:rPr>
        <w:t xml:space="preserve">- три представителя частных структур из сектора сельского хозяйства и агробизнеса, кандидатуры которых определяются директором Центра.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wcfeldwhulzd08lzfwln">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Члены наблюдательного совета работают в его составе на постоянной основе. Смена одного члена наблюдательного совета либо изменение всего состава осуществляется по правилам, установленным в пункте 18 настоящего Устава.</w:t>
      </w:r>
    </w:p>
    <w:p>
      <w:pPr>
        <w:spacing w:after="60"/>
        <w:ind w:firstLine="567"/>
        <w:jc w:val="both"/>
      </w:pPr>
      <w:r>
        <w:rPr>
          <w:rFonts w:ascii="Arial" w:cs="Arial" w:eastAsia="Arial" w:hAnsi="Arial"/>
          <w:sz w:val="24"/>
          <w:szCs w:val="24"/>
        </w:rPr>
        <w:t xml:space="preserve">Состав Наблюдательного Совета утверждается приказом директора Центра.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nfjhuxs3zu-vlujheo0l">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Полномочия наблюдательного совета:</w:t>
      </w:r>
    </w:p>
    <w:p>
      <w:pPr>
        <w:spacing w:after="60"/>
        <w:ind w:firstLine="567"/>
        <w:jc w:val="both"/>
      </w:pPr>
      <w:r>
        <w:rPr>
          <w:rFonts w:ascii="Arial" w:cs="Arial" w:eastAsia="Arial" w:hAnsi="Arial"/>
          <w:sz w:val="24"/>
          <w:szCs w:val="24"/>
        </w:rPr>
        <w:t xml:space="preserve">- определение задач Центра в соответствии с основными задачами, определенными настоящим Уставом;</w:t>
      </w:r>
    </w:p>
    <w:p>
      <w:pPr>
        <w:spacing w:after="60"/>
        <w:ind w:firstLine="567"/>
        <w:jc w:val="both"/>
      </w:pPr>
      <w:r>
        <w:rPr>
          <w:rFonts w:ascii="Arial" w:cs="Arial" w:eastAsia="Arial" w:hAnsi="Arial"/>
          <w:sz w:val="24"/>
          <w:szCs w:val="24"/>
        </w:rPr>
        <w:t xml:space="preserve">- утверждение бюджета и годового плана Центра;</w:t>
      </w:r>
    </w:p>
    <w:p>
      <w:pPr>
        <w:spacing w:after="60"/>
        <w:ind w:firstLine="567"/>
        <w:jc w:val="both"/>
      </w:pPr>
      <w:r>
        <w:rPr>
          <w:rFonts w:ascii="Arial" w:cs="Arial" w:eastAsia="Arial" w:hAnsi="Arial"/>
          <w:sz w:val="24"/>
          <w:szCs w:val="24"/>
        </w:rPr>
        <w:t xml:space="preserve">- заслушивание и оценка годовых отчетов Центра о выполнении годовых планов;</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c-qtxfw-uzicfcxyj7rl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июля 2019 года № 364);</w:t>
      </w:r>
    </w:p>
    <w:p>
      <w:pPr>
        <w:spacing w:after="60"/>
        <w:ind w:firstLine="567"/>
        <w:jc w:val="both"/>
      </w:pPr>
      <w:r>
        <w:rPr>
          <w:rFonts w:ascii="Arial" w:cs="Arial" w:eastAsia="Arial" w:hAnsi="Arial"/>
          <w:sz w:val="24"/>
          <w:szCs w:val="24"/>
        </w:rPr>
        <w:t xml:space="preserve">- обсуждение проблем, поставленных директором Центра и определение рекомендаций по их решению;</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odthqs8vjw1awkfifxla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июля 2019 года № 364);</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vvenvrbpl8apxc-rvznn">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Полномочия наблюдательного совета, указанные в пункте 20 настоящего Устава, являются исчерпывающими. Наблюдательный совет не может выходить за их пределы и вмешиваться в деятельность директора. Члены наблюдательного совета не вправе действовать от имени Центра.</w:t>
      </w:r>
    </w:p>
    <w:p>
      <w:pPr>
        <w:spacing w:after="60"/>
        <w:ind w:firstLine="567"/>
        <w:jc w:val="both"/>
      </w:pPr>
      <w:r>
        <w:rPr>
          <w:rFonts w:ascii="Arial" w:cs="Arial" w:eastAsia="Arial" w:hAnsi="Arial"/>
          <w:sz w:val="24"/>
          <w:szCs w:val="24"/>
        </w:rPr>
        <w:t xml:space="preserve">Члены наблюдательного совета должны сохранять лояльность по отношению к Центру. Они не могут использовать предоставленные возможности в целях, противоречащих настоящему Уставу, или наносить ущерб имущественным и неимущественным интересам Центра.</w:t>
      </w:r>
    </w:p>
    <w:p>
      <w:pPr>
        <w:spacing w:after="60"/>
        <w:ind w:firstLine="567"/>
        <w:jc w:val="both"/>
      </w:pPr>
      <w:r>
        <w:rPr>
          <w:rFonts w:ascii="Arial" w:cs="Arial" w:eastAsia="Arial" w:hAnsi="Arial"/>
          <w:sz w:val="24"/>
          <w:szCs w:val="24"/>
        </w:rPr>
        <w:t xml:space="preserve">22. В работе наблюдательного совета могут принимать участие неассоциированные члены без права голоса. Порядок включения лиц в состав наблюдательного совета в качестве неассоциированных членов определяется самим наблюдательным советом.</w:t>
      </w:r>
    </w:p>
    <w:p>
      <w:pPr>
        <w:spacing w:after="200" w:before="200"/>
        <w:jc w:val="center"/>
      </w:pPr>
      <w:r>
        <w:rPr>
          <w:rFonts w:ascii="Arial" w:cs="Arial" w:eastAsia="Arial" w:hAnsi="Arial"/>
          <w:b/>
          <w:bCs/>
          <w:sz w:val="24"/>
          <w:szCs w:val="24"/>
        </w:rPr>
        <w:t xml:space="preserve">VII. Порядок проведения заседаний наблюдательного совета Центра</w:t>
      </w:r>
    </w:p>
    <w:p>
      <w:pPr>
        <w:spacing w:after="60"/>
        <w:ind w:firstLine="567"/>
        <w:jc w:val="both"/>
      </w:pPr>
      <w:r>
        <w:rPr>
          <w:rFonts w:ascii="Arial" w:cs="Arial" w:eastAsia="Arial" w:hAnsi="Arial"/>
          <w:sz w:val="24"/>
          <w:szCs w:val="24"/>
        </w:rPr>
        <w:t xml:space="preserve">23. Проведение первого заседания наблюдательного совета организуется директором в течение шести месяцев после государственной регистрации Центра в качестве юридического лица. На первое заседание члены наблюдательного совета приносят соответствующие уполномочивающие их документы.</w:t>
      </w:r>
    </w:p>
    <w:p>
      <w:pPr>
        <w:spacing w:after="60"/>
        <w:ind w:firstLine="567"/>
        <w:jc w:val="both"/>
      </w:pPr>
      <w:r>
        <w:rPr>
          <w:rFonts w:ascii="Arial" w:cs="Arial" w:eastAsia="Arial" w:hAnsi="Arial"/>
          <w:sz w:val="24"/>
          <w:szCs w:val="24"/>
        </w:rPr>
        <w:t xml:space="preserve">24. На своем первом организационном заседании наблюдательный совет заседает в полном составе. На первом организационном заседании наблюдательного совета и на всех последующих его заседаниях директор Центра участвует в обязательном порядке.</w:t>
      </w:r>
    </w:p>
    <w:p>
      <w:pPr>
        <w:spacing w:after="60"/>
        <w:ind w:firstLine="567"/>
        <w:jc w:val="both"/>
      </w:pPr>
      <w:r>
        <w:rPr>
          <w:rFonts w:ascii="Arial" w:cs="Arial" w:eastAsia="Arial" w:hAnsi="Arial"/>
          <w:sz w:val="24"/>
          <w:szCs w:val="24"/>
        </w:rPr>
        <w:t xml:space="preserve">25. Члены наблюдательного совета не получают заработной платы, гонораров или другой компенсации от Центра или любого другого источника за осуществление своей деятельности как члена наблюдательного совета.</w:t>
      </w:r>
    </w:p>
    <w:p>
      <w:pPr>
        <w:spacing w:after="60"/>
        <w:ind w:firstLine="567"/>
        <w:jc w:val="both"/>
      </w:pPr>
      <w:r>
        <w:rPr>
          <w:rFonts w:ascii="Arial" w:cs="Arial" w:eastAsia="Arial" w:hAnsi="Arial"/>
          <w:sz w:val="24"/>
          <w:szCs w:val="24"/>
        </w:rPr>
        <w:t xml:space="preserve">26. Наблюдательный совет осуществляет свою деятельность на основании настоящего Устава, а также в соответствии с законодательством Кыргызской Республики и соглашениями относительно деятельности Центра.</w:t>
      </w:r>
    </w:p>
    <w:p>
      <w:pPr>
        <w:spacing w:after="60"/>
        <w:ind w:firstLine="567"/>
        <w:jc w:val="both"/>
      </w:pPr>
      <w:r>
        <w:rPr>
          <w:rFonts w:ascii="Arial" w:cs="Arial" w:eastAsia="Arial" w:hAnsi="Arial"/>
          <w:sz w:val="24"/>
          <w:szCs w:val="24"/>
        </w:rPr>
        <w:t xml:space="preserve">27. Заседания наблюдательного совета будут проводиться, как минимум, один раз в год. Специальные заседания могут быть созваны по предложению учредителя, председателя наблюдательного совета, директора Центра или любых трех членов наблюдательного совета. Кворум наблюдательного совета считается состоявшимся при присутствии более 50 процентов всех членов. Наблюдательный совет вправе проводить заседания и электронное голосование посредством электронных средств связи, в том числе по электронной почте. Решения наблюдательного совета принимаются простым большинством голосов от числа всего состава совета. При равенстве голосов в ходе голосования голос председателя является решающим.</w:t>
      </w:r>
    </w:p>
    <w:p>
      <w:pPr>
        <w:spacing w:after="60"/>
        <w:ind w:firstLine="567"/>
        <w:jc w:val="both"/>
      </w:pPr>
      <w:r>
        <w:rPr>
          <w:rFonts w:ascii="Arial" w:cs="Arial" w:eastAsia="Arial" w:hAnsi="Arial"/>
          <w:sz w:val="24"/>
          <w:szCs w:val="24"/>
        </w:rPr>
        <w:t xml:space="preserve">Все члены наблюдательного совета должны быть надлежащим образом уведомлены о заседании наблюдательного совета не менее чем за десять рабочих дней до его проведения. В случае специальных или чрезвычайных заседаний уведомление может быть направлено членам наблюдательного совета не менее чем за три рабочих дня. Уведомление должно содержать повестку дня предстоящего заседания с приложением всех необходимых документов, связанных с повесткой дня.</w:t>
      </w:r>
    </w:p>
    <w:p>
      <w:pPr>
        <w:spacing w:after="60"/>
        <w:ind w:firstLine="567"/>
        <w:jc w:val="both"/>
      </w:pPr>
      <w:r>
        <w:rPr>
          <w:rFonts w:ascii="Arial" w:cs="Arial" w:eastAsia="Arial" w:hAnsi="Arial"/>
          <w:sz w:val="24"/>
          <w:szCs w:val="24"/>
        </w:rPr>
        <w:t xml:space="preserve">Заседания наблюдательного совета протоколируются одним из работников Центра, определяемым директором. Протоколы подписываются председателем и предоставляются всем членам наблюдательного совета и директору Центра.</w:t>
      </w:r>
    </w:p>
    <w:p>
      <w:pPr>
        <w:spacing w:after="60"/>
        <w:ind w:firstLine="567"/>
        <w:jc w:val="both"/>
      </w:pPr>
      <w:r>
        <w:rPr>
          <w:rFonts w:ascii="Arial" w:cs="Arial" w:eastAsia="Arial" w:hAnsi="Arial"/>
          <w:sz w:val="24"/>
          <w:szCs w:val="24"/>
        </w:rPr>
        <w:t xml:space="preserve">Организационное и материально-техническое обеспечение деятельности наблюдательного совета осуществляется Центром.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notrhwogomaxgb0nodsj">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Член наблюдательного совета Центра не может иметь прямую или косвенную материальную заинтересованность в деятельности Центра. В случае установления подобного факта такой член исключается из состава наблюдательного совета стороной, его назначившей.</w:t>
      </w:r>
    </w:p>
    <w:p>
      <w:pPr>
        <w:spacing w:after="60"/>
        <w:ind w:firstLine="567"/>
        <w:jc w:val="both"/>
      </w:pPr>
      <w:r>
        <w:rPr>
          <w:rFonts w:ascii="Arial" w:cs="Arial" w:eastAsia="Arial" w:hAnsi="Arial"/>
          <w:sz w:val="24"/>
          <w:szCs w:val="24"/>
        </w:rPr>
        <w:t xml:space="preserve">29. Член наблюдательного совета может выйти из состава совета по собственной инициативе. При этом включение в состав нового члена взамен вышедшего осуществляется по правилам, установленным в пунктах 18 и 19 настоящего Устава.</w:t>
      </w:r>
    </w:p>
    <w:p>
      <w:pPr>
        <w:spacing w:after="200" w:before="200"/>
        <w:jc w:val="center"/>
      </w:pPr>
      <w:r>
        <w:rPr>
          <w:rFonts w:ascii="Arial" w:cs="Arial" w:eastAsia="Arial" w:hAnsi="Arial"/>
          <w:b/>
          <w:bCs/>
          <w:sz w:val="24"/>
          <w:szCs w:val="24"/>
        </w:rPr>
        <w:t xml:space="preserve">VIII. Директор Центра</w:t>
      </w:r>
    </w:p>
    <w:p>
      <w:pPr>
        <w:spacing w:after="60"/>
        <w:ind w:firstLine="567"/>
        <w:jc w:val="both"/>
      </w:pPr>
      <w:r>
        <w:rPr>
          <w:rFonts w:ascii="Arial" w:cs="Arial" w:eastAsia="Arial" w:hAnsi="Arial"/>
          <w:sz w:val="24"/>
          <w:szCs w:val="24"/>
        </w:rPr>
        <w:t xml:space="preserve">30. Директор Центра назначается и освобождается от должности Премьер-министром Кыргызской Республики с согласия Всемирного банка.</w:t>
      </w:r>
    </w:p>
    <w:p>
      <w:pPr>
        <w:spacing w:after="60"/>
        <w:ind w:firstLine="567"/>
        <w:jc w:val="both"/>
      </w:pPr>
      <w:r>
        <w:rPr>
          <w:rFonts w:ascii="Arial" w:cs="Arial" w:eastAsia="Arial" w:hAnsi="Arial"/>
          <w:sz w:val="24"/>
          <w:szCs w:val="24"/>
        </w:rPr>
        <w:t xml:space="preserve">Директор подотчетен наблюдательному совету в пределах его компетенции.</w:t>
      </w:r>
    </w:p>
    <w:p>
      <w:pPr>
        <w:spacing w:after="60"/>
        <w:ind w:firstLine="567"/>
        <w:jc w:val="both"/>
      </w:pPr>
      <w:r>
        <w:rPr>
          <w:rFonts w:ascii="Arial" w:cs="Arial" w:eastAsia="Arial" w:hAnsi="Arial"/>
          <w:sz w:val="24"/>
          <w:szCs w:val="24"/>
        </w:rPr>
        <w:t xml:space="preserve">31. Директор несет ответственность за текущую деятельность Центра. Директор осуществляет свою деятельность независимо и без постороннего вмешательства в соответствии с положениями настоящего Устава. Полномочия директора включают представление Центра перед всеми юридическими и физическими лицами как в Кыргызской Республике, так и за рубежом, заключение договоров, протоколов, соглашений, иных документов от имени Центра, а также другие полномочия, входящие в его компетенцию.</w:t>
      </w:r>
    </w:p>
    <w:p>
      <w:pPr>
        <w:spacing w:after="60"/>
        <w:ind w:firstLine="567"/>
        <w:jc w:val="both"/>
      </w:pPr>
      <w:r>
        <w:rPr>
          <w:rFonts w:ascii="Arial" w:cs="Arial" w:eastAsia="Arial" w:hAnsi="Arial"/>
          <w:sz w:val="24"/>
          <w:szCs w:val="24"/>
        </w:rPr>
        <w:t xml:space="preserve">Директор разрабатывает и вносит на рассмотрение наблюдательного совета: проекты задач, необходимых для работы Центра; проекты бюджета и годового плана Центра; рекомендации, направленные на решение проблем Центра. Директор Центра готовит годовой отчет о выполнении годового плана и представляет его на рассмотрение наблюдательного совета.</w:t>
      </w:r>
    </w:p>
    <w:p>
      <w:pPr>
        <w:spacing w:after="60"/>
        <w:ind w:firstLine="567"/>
        <w:jc w:val="both"/>
      </w:pPr>
      <w:r>
        <w:rPr>
          <w:rFonts w:ascii="Arial" w:cs="Arial" w:eastAsia="Arial" w:hAnsi="Arial"/>
          <w:sz w:val="24"/>
          <w:szCs w:val="24"/>
        </w:rPr>
        <w:t xml:space="preserve">Разработка рабочих планов, проекта бюджета, ведение отчетности осуществляется по правилам и процедурам, установленным Всемирным банком.</w:t>
      </w:r>
    </w:p>
    <w:p>
      <w:pPr>
        <w:spacing w:after="60"/>
        <w:ind w:firstLine="567"/>
        <w:jc w:val="both"/>
      </w:pPr>
      <w:r>
        <w:rPr>
          <w:rFonts w:ascii="Arial" w:cs="Arial" w:eastAsia="Arial" w:hAnsi="Arial"/>
          <w:sz w:val="24"/>
          <w:szCs w:val="24"/>
        </w:rPr>
        <w:t xml:space="preserve">32. Директор имеет одного заместителя и других сотрудников Центра, назначаемых директором с согласия Всемирного банка.</w:t>
      </w:r>
    </w:p>
    <w:p>
      <w:pPr>
        <w:spacing w:after="60"/>
        <w:ind w:firstLine="567"/>
        <w:jc w:val="both"/>
      </w:pPr>
      <w:r>
        <w:rPr>
          <w:rFonts w:ascii="Arial" w:cs="Arial" w:eastAsia="Arial" w:hAnsi="Arial"/>
          <w:sz w:val="24"/>
          <w:szCs w:val="24"/>
        </w:rPr>
        <w:t xml:space="preserve">33. Проведение конкурса на замещение вакантных должностей Центра, отбор претендентов и их назначение, найм иностранных консультантов, а также отбор и закупка услуг местных консультантов осуществляется по процедурам закупок Всемирного банка, в тех случаях, когда Центр реализует проекты Всемирного банка. В остальных случаях применяются процедуры государственных закупок либо процедуры, согласованные с другими донорскими организациями.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au6ekz0nrf6x3gyowjmk">
        <w:r>
          <w:rPr>
            <w:rFonts w:ascii="Arial" w:cs="Arial" w:eastAsia="Arial" w:hAnsi="Arial"/>
            <w:i/>
            <w:iCs/>
            <w:color w:val="1D4ED8"/>
            <w:sz w:val="24"/>
            <w:szCs w:val="24"/>
            <w:u w:val="single"/>
          </w:rPr>
          <w:t xml:space="preserve">22 июля 2019 года № 364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IX. Отчетность Центра</w:t>
      </w:r>
    </w:p>
    <w:p>
      <w:pPr>
        <w:spacing w:after="60"/>
        <w:ind w:firstLine="567"/>
        <w:jc w:val="both"/>
      </w:pPr>
      <w:r>
        <w:rPr>
          <w:rFonts w:ascii="Arial" w:cs="Arial" w:eastAsia="Arial" w:hAnsi="Arial"/>
          <w:sz w:val="24"/>
          <w:szCs w:val="24"/>
        </w:rPr>
        <w:t xml:space="preserve">34. Директор Центра отчитывается перед наблюдательным советом один раз в год, а также обязан представить соответствующий отчет о проделанной работе по решению председателя наблюдательного совета.</w:t>
      </w:r>
    </w:p>
    <w:p>
      <w:pPr>
        <w:spacing w:after="60"/>
        <w:ind w:firstLine="567"/>
        <w:jc w:val="both"/>
      </w:pPr>
      <w:r>
        <w:rPr>
          <w:rFonts w:ascii="Arial" w:cs="Arial" w:eastAsia="Arial" w:hAnsi="Arial"/>
          <w:sz w:val="24"/>
          <w:szCs w:val="24"/>
        </w:rPr>
        <w:t xml:space="preserve">35. Центр предоставляет отчеты установленного образца в соответствии с процедурами и требованиями, согласованными со Всемирным банком и Министерством финансов Кыргызской Республики.</w:t>
      </w:r>
    </w:p>
    <w:p>
      <w:pPr>
        <w:spacing w:after="200" w:before="200"/>
        <w:jc w:val="center"/>
      </w:pPr>
      <w:r>
        <w:rPr>
          <w:rFonts w:ascii="Arial" w:cs="Arial" w:eastAsia="Arial" w:hAnsi="Arial"/>
          <w:b/>
          <w:bCs/>
          <w:sz w:val="24"/>
          <w:szCs w:val="24"/>
        </w:rPr>
        <w:t xml:space="preserve">X. Порядок внесения изменений и дополнений в Устав Центра</w:t>
      </w:r>
    </w:p>
    <w:p>
      <w:pPr>
        <w:spacing w:after="60"/>
        <w:ind w:firstLine="567"/>
        <w:jc w:val="both"/>
      </w:pPr>
      <w:r>
        <w:rPr>
          <w:rFonts w:ascii="Arial" w:cs="Arial" w:eastAsia="Arial" w:hAnsi="Arial"/>
          <w:sz w:val="24"/>
          <w:szCs w:val="24"/>
        </w:rPr>
        <w:t xml:space="preserve">36. Изменения и дополнения в настоящий Устав вносятся Правительством Кыргызской Республики по предложениям наблюдательного совета или директора Центра.</w:t>
      </w:r>
    </w:p>
    <w:p>
      <w:pPr>
        <w:spacing w:after="60"/>
        <w:ind w:firstLine="567"/>
        <w:jc w:val="both"/>
      </w:pPr>
      <w:r>
        <w:rPr>
          <w:rFonts w:ascii="Arial" w:cs="Arial" w:eastAsia="Arial" w:hAnsi="Arial"/>
          <w:sz w:val="24"/>
          <w:szCs w:val="24"/>
        </w:rPr>
        <w:t xml:space="preserve">Поправки в Устав Центра или новая его редакция могут быть приняты лишь с согласия Всемирного банка.</w:t>
      </w:r>
    </w:p>
    <w:p>
      <w:pPr>
        <w:spacing w:after="60"/>
        <w:ind w:firstLine="567"/>
        <w:jc w:val="both"/>
      </w:pPr>
      <w:r>
        <w:rPr>
          <w:rFonts w:ascii="Arial" w:cs="Arial" w:eastAsia="Arial" w:hAnsi="Arial"/>
          <w:sz w:val="24"/>
          <w:szCs w:val="24"/>
        </w:rPr>
        <w:t xml:space="preserve">Внесенные изменения и дополнения к Уставу подлежат государственной регистрации в установленном законодательством порядке.</w:t>
      </w:r>
    </w:p>
    <w:p>
      <w:pPr>
        <w:spacing w:after="200" w:before="200"/>
        <w:jc w:val="center"/>
      </w:pPr>
      <w:r>
        <w:rPr>
          <w:rFonts w:ascii="Arial" w:cs="Arial" w:eastAsia="Arial" w:hAnsi="Arial"/>
          <w:b/>
          <w:bCs/>
          <w:sz w:val="24"/>
          <w:szCs w:val="24"/>
        </w:rPr>
        <w:t xml:space="preserve">XI. Порядок реорганизации или прекращения деятельности Центра</w:t>
      </w:r>
    </w:p>
    <w:p>
      <w:pPr>
        <w:spacing w:after="60"/>
        <w:ind w:firstLine="567"/>
        <w:jc w:val="both"/>
      </w:pPr>
      <w:r>
        <w:rPr>
          <w:rFonts w:ascii="Arial" w:cs="Arial" w:eastAsia="Arial" w:hAnsi="Arial"/>
          <w:sz w:val="24"/>
          <w:szCs w:val="24"/>
        </w:rPr>
        <w:t xml:space="preserve">37. Деятельность Центра может быть прекращена по решению учредителя с согласия Всемирного банка либо судом на основаниях,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38. Имущество и денежные средства, оставшиеся после ликвидации Центра и расчетов с кредиторами и возвращенные в соответствии с юридическими соглашениями, будут возвращены учредителю Центра и международным финансовым институтам, финансирующим деятельность Центра в соответствии с их вкладом.</w:t>
      </w:r>
    </w:p>
    <w:p>
      <w:pPr>
        <w:spacing w:after="60"/>
        <w:ind w:firstLine="567"/>
        <w:jc w:val="both"/>
      </w:pPr>
      <w:r>
        <w:rPr>
          <w:rFonts w:ascii="Arial" w:cs="Arial" w:eastAsia="Arial" w:hAnsi="Arial"/>
          <w:sz w:val="24"/>
          <w:szCs w:val="24"/>
        </w:rPr>
        <w:t xml:space="preserve">39. Документы, возникшие в процессе деятельности Центра, используются и хранятся в соответствии с </w:t>
      </w:r>
      <w:hyperlink w:history="1" r:id="rIdc-ivvekysjfwzzttj4xz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1m5fpnkdbwxlmqvxesv">
      <w:r>
        <w:rPr>
          <w:rFonts w:ascii="Arial" w:cs="Arial" w:eastAsia="Arial" w:hAnsi="Arial"/>
          <w:color w:val="132D3F"/>
          <w:sz w:val="16"/>
          <w:szCs w:val="16"/>
          <w:u w:val="single"/>
        </w:rPr>
        <w:t xml:space="preserve">dalil.kg/document/40990</w:t>
      </w:r>
    </w:hyperlink>
  </w:p>
  <w:p>
    <w:pPr>
      <w:spacing w:after="0" w:before="40"/>
      <w:jc w:val="center"/>
    </w:pPr>
    <w:hyperlink w:history="1" r:id="rIdgbz53numrkbfmxbfhic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xjzyelm_5l6civaaolp" Type="http://schemas.openxmlformats.org/officeDocument/2006/relationships/hyperlink" Target="https://dalil.kg/document/56020" TargetMode="External"/><Relationship Id="rIdmhuvnqcfyo9jcxlwdvba0" Type="http://schemas.openxmlformats.org/officeDocument/2006/relationships/hyperlink" Target="https://dalil.kg/document/57262" TargetMode="External"/><Relationship Id="rIdxblxn-mk8gm4ydpe86yiw" Type="http://schemas.openxmlformats.org/officeDocument/2006/relationships/hyperlink" Target="https://dalil.kg/document/14595" TargetMode="External"/><Relationship Id="rIdijea8vcmurcl96fxod_eu" Type="http://schemas.openxmlformats.org/officeDocument/2006/relationships/hyperlink" Target="https://dalil.kg/document/14595" TargetMode="External"/><Relationship Id="rIddxkfw_ucmn_aobglvxlel" Type="http://schemas.openxmlformats.org/officeDocument/2006/relationships/hyperlink" Target="https://dalil.kg/document/14595" TargetMode="External"/><Relationship Id="rId0re8mgktzalqjbhx16vut" Type="http://schemas.openxmlformats.org/officeDocument/2006/relationships/hyperlink" Target="https://dalil.kg/document/4" TargetMode="External"/><Relationship Id="rId4-uwbq63j_m6lrzbr4vql" Type="http://schemas.openxmlformats.org/officeDocument/2006/relationships/hyperlink" Target="https://dalil.kg/document/14595" TargetMode="External"/><Relationship Id="rIdiszv02fhv3fuwhecl16q2" Type="http://schemas.openxmlformats.org/officeDocument/2006/relationships/hyperlink" Target="https://dalil.kg/document/14595" TargetMode="External"/><Relationship Id="rId0wcfeldwhulzd08lzfwln" Type="http://schemas.openxmlformats.org/officeDocument/2006/relationships/hyperlink" Target="https://dalil.kg/document/14595" TargetMode="External"/><Relationship Id="rIdinfjhuxs3zu-vlujheo0l" Type="http://schemas.openxmlformats.org/officeDocument/2006/relationships/hyperlink" Target="https://dalil.kg/document/14595" TargetMode="External"/><Relationship Id="rIdc-qtxfw-uzicfcxyj7rlq" Type="http://schemas.openxmlformats.org/officeDocument/2006/relationships/hyperlink" Target="https://dalil.kg/document/14595" TargetMode="External"/><Relationship Id="rIdodthqs8vjw1awkfifxlas" Type="http://schemas.openxmlformats.org/officeDocument/2006/relationships/hyperlink" Target="https://dalil.kg/document/14595" TargetMode="External"/><Relationship Id="rIdgvvenvrbpl8apxc-rvznn" Type="http://schemas.openxmlformats.org/officeDocument/2006/relationships/hyperlink" Target="https://dalil.kg/document/14595" TargetMode="External"/><Relationship Id="rIdpnotrhwogomaxgb0nodsj" Type="http://schemas.openxmlformats.org/officeDocument/2006/relationships/hyperlink" Target="https://dalil.kg/document/14595" TargetMode="External"/><Relationship Id="rIdbau6ekz0nrf6x3gyowjmk" Type="http://schemas.openxmlformats.org/officeDocument/2006/relationships/hyperlink" Target="https://dalil.kg/document/14595" TargetMode="External"/><Relationship Id="rIdc-ivvekysjfwzzttj4xzf"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1m5fpnkdbwxlmqvxesv" Type="http://schemas.openxmlformats.org/officeDocument/2006/relationships/hyperlink" Target="https://dalil.kg/document/40990" TargetMode="External"/><Relationship Id="rIdgbz53numrkbfmxbfhic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2026-10-01T17:03:07.512Z</dcterms:created>
  <dcterms:modified xsi:type="dcterms:W3CDTF">2026-10-01T17:03:07.512Z</dcterms:modified>
</cp:coreProperties>
</file>

<file path=docProps/custom.xml><?xml version="1.0" encoding="utf-8"?>
<Properties xmlns="http://schemas.openxmlformats.org/officeDocument/2006/custom-properties" xmlns:vt="http://schemas.openxmlformats.org/officeDocument/2006/docPropsVTypes"/>
</file>