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ougqbslc334rdx6__alfp">
        <w:r>
          <w:rPr>
            <w:rFonts w:ascii="Arial" w:cs="Arial" w:eastAsia="Arial" w:hAnsi="Arial"/>
            <w:color w:val="1D4ED8"/>
            <w:sz w:val="24"/>
            <w:szCs w:val="24"/>
            <w:u w:val="single"/>
          </w:rPr>
          <w:t xml:space="preserve">23 июня 2008 года №124</w:t>
        </w:r>
      </w:hyperlink>
      <w:r>
        <w:rPr>
          <w:rFonts w:ascii="Arial" w:cs="Arial" w:eastAsia="Arial" w:hAnsi="Arial"/>
          <w:sz w:val="24"/>
          <w:szCs w:val="24"/>
        </w:rPr>
        <w:t xml:space="preserve">) г.Бишкекот 24 марта 2001 года № 33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2001 год             (В редакции Закона КР от 9 июля 2001 года </w:t>
      </w:r>
      <w:hyperlink w:history="1" r:id="rId4_86v5tilr5-m82fqvgnl">
        <w:r>
          <w:rPr>
            <w:rFonts w:ascii="Arial" w:cs="Arial" w:eastAsia="Arial" w:hAnsi="Arial"/>
            <w:color w:val="1D4ED8"/>
            <w:sz w:val="24"/>
            <w:szCs w:val="24"/>
            <w:u w:val="single"/>
          </w:rPr>
          <w:t xml:space="preserve">N 65</w:t>
        </w:r>
      </w:hyperlink>
      <w:r>
        <w:rPr>
          <w:rFonts w:ascii="Arial" w:cs="Arial" w:eastAsia="Arial" w:hAnsi="Arial"/>
          <w:sz w:val="24"/>
          <w:szCs w:val="24"/>
        </w:rPr>
        <w:t xml:space="preserve">)      Принят Законодательным собранием     Жогорку Кенеша Кыргызской Республики          14 февраля 2001 года      Одобрен Собранием народных представителей     Жогорку Кенеша Кыргызской Республики          26 февраля 2001 года      Статья 1.      Утвердить базовые ставки акцизного налога на  подакцизные  товары,ввозимые  и производимые юридическими и физическими лицами в КыргызскойРеспублике, на 2001 год:-----------------------------------------------------------------------|             Подакцизные товары             |Ставки акцизного налога ||                                            | в сомах от объема (кг, ||                                            |л, шт., т) и в процентах||                                            |    к оптовой цене,     ||                                            |  таможенной стоимости  ||--------------------------------------------|------------------------||Спирт этиловый питьевой и спирт этиловый    |70 сом./л               ||очищенный, произведенный из пищевого сырья  |                        ||(кроме отпускаемого товаропроизводителям или|                        ||ввозимого товаропроизводителями для         |                        ||выработки водки, ликеро-водочных изделий,   |                        ||крепленых напитков, крепленых соков,        |                        ||бальзама, вина при наличии у них лицензии на|                        ||право их производства и спецпотребителям в  |                        ||пределах норм)                              |                        ||Водка                                       |40 сом./л               ||Ликеро-водочные изделия                     |40 сом./л               ||Крепленые напитки, крепленые соки и         |40 сом./л               ||бальзамы                                    |                        ||Вина                                        |10 сом./л               ||Коньяки                                     |25 сом./л               ||Шампанские вина                             |20 сом./л               ||Пиво расфасованное                          |3 сом./л                ||Пиво нефасованное                           |2 сом./л                ||Виноматериалы                               |2 сом./л                ||Табачные изделия:                           |                        ||- сигареты с фильтром                       |70 сом./1000 шт.        ||- сигареты без фильтра                      |15 сом./1000 шт.        ||Прочие изделия, содержащие табак, в том     |4 сом./кг               ||числе табак ферментированный                |                        ||Ювелирные изделия из золота, платины или    |15%                     ||серебра                                     |                        ||Выделанные и невыделанные меховые шкурки    |5%                      ||(кроме шкурок крота, кролика, оленя, собаки,|                        ||овчины и шкуры крупного рогатого скота)     |                        ||Изделия из натурального меха, включая       |5%                      ||пальто, полупальто, жакеты, накидки,        |                        ||палантины, боа, шарфы, головные уборы и     |                        ||воротники, шубы, пластины (кроме изделий из |                        ||шкурок крота, кролика, оленя, собаки, овчины|                        ||и шкуры крупного рогатого скота)            |                        ||Пальто, полупальто, жакеты, накидки с       |5%                      ||применением отделки из меха (за исключением |                        ||меха крота, кролика, оленя, собаки, овчины и|                        ||крупного рогатого скота)                    |                        ||Одежда из натуральной кожи                  |5%                      ||Изделия из хрусталя, хрустальные            |20%                     ||осветительные приборы                       |                        ||Огнестрельное и газовое оружие (кроме       |20%                     ||приобретаемого для нужд органов             |                        ||государственной власти)                     |                        ||Нефтепродукты:                              |                        ||- бензин, легкие и средние дистилляты и     |3000 сом./т             ||  прочие бензины                            |                        ||- топливо реактивное                        |0 сом./т                ||- дизтопливо                                |800 сом./т              ||- мазут                                     |600 сом./т              ||- масла и газоконденсат                     |1400 сом./т             ||- нефть сырая и нефтепродукты сырые,        |600 сом./т              ||  полученные из битуминозных материалов     |                        ||  (кроме АО "Кыргызнефтегаз")               |                        ||Ковры и ковровые изделия (кроме ковролина и |10%                     ||ковров полушерстяных - артикул ОС-I-БЛ)     |                        ||Кофе и какао                                |10%                     |-----------------------------------------------------------------------     (В редакции Закона КР от 9 июля 2001 года N 65)      Статья 2.      Порядок и сроки уплаты акцизных налогов определяются  Правительст-вом Кыргызской Республики.  Пересчет ставок акцизного налога на  подак-цизные  товары  в  пределах  базовой ставки производится ПравительствомКыргызской Республики.  Измененные ставки акцизного налога на подакциз-ные  товары в пределах базовой ставки начинают действовать не ранее од-ного месяца с момента опубликования.     (В редакции Закона КР от 9 июля 2001 года N 65)      Статья 3.      До принятия  в  установленном  порядке  ставок акцизного налога на2002 год продолжают действовать ставки, принятые настоящим Законом.      Статья 4.      Настоящий Закон вступает в силу с 1 января 2001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af0ljv2wrhmy8oglrmf">
      <w:r>
        <w:rPr>
          <w:rFonts w:ascii="Arial" w:cs="Arial" w:eastAsia="Arial" w:hAnsi="Arial"/>
          <w:color w:val="132D3F"/>
          <w:sz w:val="16"/>
          <w:szCs w:val="16"/>
          <w:u w:val="single"/>
        </w:rPr>
        <w:t xml:space="preserve">dalil.kg/document/415</w:t>
      </w:r>
    </w:hyperlink>
  </w:p>
  <w:p>
    <w:pPr>
      <w:spacing w:after="0" w:before="40"/>
      <w:jc w:val="center"/>
    </w:pPr>
    <w:hyperlink w:history="1" r:id="rIdzzykaspn_2nsdq4gs1d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gqbslc334rdx6__alfp" Type="http://schemas.openxmlformats.org/officeDocument/2006/relationships/hyperlink" Target="https://dalil.kg/document/202336" TargetMode="External"/><Relationship Id="rId4_86v5tilr5-m82fqvgnl" Type="http://schemas.openxmlformats.org/officeDocument/2006/relationships/hyperlink" Target="https://dalil.kg/document/4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af0ljv2wrhmy8oglrmf" Type="http://schemas.openxmlformats.org/officeDocument/2006/relationships/hyperlink" Target="https://dalil.kg/document/415" TargetMode="External"/><Relationship Id="rIdzzykaspn_2nsdq4gs1d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2026-09-25T22:49:58.259Z</dcterms:created>
  <dcterms:modified xsi:type="dcterms:W3CDTF">2026-09-25T22:49:58.259Z</dcterms:modified>
</cp:coreProperties>
</file>

<file path=docProps/custom.xml><?xml version="1.0" encoding="utf-8"?>
<Properties xmlns="http://schemas.openxmlformats.org/officeDocument/2006/custom-properties" xmlns:vt="http://schemas.openxmlformats.org/officeDocument/2006/docPropsVTypes"/>
</file>