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НОВО-ПОКРОВСКИЙ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ЧЕТЫРНА</w:t>
      </w:r>
      <w:r>
        <w:rPr>
          <w:rFonts w:ascii="Arial" w:cs="Arial" w:eastAsia="Arial" w:hAnsi="Arial"/>
          <w:sz w:val="24"/>
          <w:szCs w:val="24"/>
        </w:rPr>
        <w:t xml:space="preserve">ДЦАТАЯ СЕССИЯ ХХVII СОЗЫВА АЙЫЛНОГО КЕНЕША НОВО-ПОКРОВСКОГО АЙЫЛНОГО АЙМАКА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2018 г № 56/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IV-27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одобрении среднесрочного прогноза местного бюджета на 2019-2021гг Ново-Покровского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bopbz5uttrtosgybml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7vdngsdnxxojarru5x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 – 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рассмотрев среднесрочный прогноз бюджета на 2019-2021 гг. Ново-Покровский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2019 год по доходам и расходам на сумму 26144,6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2020 год по доходам и расходам на сумму 26548,9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2021 год по доходам и расходам на сумму 26922,7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Абдыкеримов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zonegkvxobbulisq0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dalil.kg/document/415315</w:t>
      </w:r>
    </w:hyperlink>
  </w:p>
  <w:p>
    <w:pPr>
      <w:spacing w:after="0" w:before="40"/>
      <w:jc w:val="center"/>
    </w:pPr>
    <w:hyperlink w:history="1" r:id="rIdaenbl6rrkahpcpxtto_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pbz5uttrtosgybmlkva" Type="http://schemas.openxmlformats.org/officeDocument/2006/relationships/hyperlink" Target="https://dalil.kg/document/86" TargetMode="External"/><Relationship Id="rId7vdngsdnxxojarru5xhhb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zonegkvxobbulisq0tq" Type="http://schemas.openxmlformats.org/officeDocument/2006/relationships/hyperlink" Target="https://dalil.kg/document/415315" TargetMode="External"/><Relationship Id="rIdaenbl6rrkahpcpxtto_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2026-10-05T17:20:09.824Z</dcterms:created>
  <dcterms:modified xsi:type="dcterms:W3CDTF">2026-10-05T17:20:09.824Z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