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2018 года № 82/19/27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повышении тарифа за вывоз мусора»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Люксембургского айыл окмоту Э.Буйляшева о необходимости повышения тарифа за вывоз мусора, согласно п.2 ст.12.1 Закона Кыргызской Республики «</w:t>
      </w:r>
      <w:hyperlink w:history="1" r:id="rIdfk-euwq67nfsckklh9x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неналоговых платежах</w:t>
        </w:r>
      </w:hyperlink>
      <w:r>
        <w:rPr>
          <w:rFonts w:ascii="Arial" w:cs="Arial" w:eastAsia="Arial" w:hAnsi="Arial"/>
          <w:sz w:val="24"/>
          <w:szCs w:val="24"/>
        </w:rPr>
        <w:t xml:space="preserve">», ст. 31 Закона Кыргызской Республики «</w:t>
      </w:r>
      <w:hyperlink w:history="1" r:id="rIdfnym9ae4fmd0w0k_ifp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письма Государственного агентства антимонопольного регулировния при Правительстве Кыргызской Республики от 23.10.2018 года №07/2613 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тариф за вывоз мусора 25(двадцать пять) сом с одного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Люксембургского айыл окмоту Э.Буйляшева.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pw2nl-tsjcfg6x7wd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dalil.kg/document/420301</w:t>
      </w:r>
    </w:hyperlink>
  </w:p>
  <w:p>
    <w:pPr>
      <w:spacing w:after="0" w:before="40"/>
      <w:jc w:val="center"/>
    </w:pPr>
    <w:hyperlink w:history="1" r:id="rIdhl-4cbjl34vqq6n7ufu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-euwq67nfsckklh9x2x" Type="http://schemas.openxmlformats.org/officeDocument/2006/relationships/hyperlink" Target="https://dalil.kg/document/741" TargetMode="External"/><Relationship Id="rIdfnym9ae4fmd0w0k_ifpt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pw2nl-tsjcfg6x7wdyg" Type="http://schemas.openxmlformats.org/officeDocument/2006/relationships/hyperlink" Target="https://dalil.kg/document/420301" TargetMode="External"/><Relationship Id="rIdhl-4cbjl34vqq6n7ufu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2026-10-04T15:58:43.032Z</dcterms:created>
  <dcterms:modified xsi:type="dcterms:W3CDTF">2026-10-04T15:58:43.032Z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