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82/</w:t>
      </w: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возможности использования земельного участка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Правительства Кыргызской Республики от </w:t>
      </w:r>
      <w:hyperlink w:history="1" r:id="rIdoriqnkohho4cauqcv7l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23.08.2018 года за № 396</w:t>
        </w:r>
      </w:hyperlink>
      <w:r>
        <w:rPr>
          <w:rFonts w:ascii="Arial" w:cs="Arial" w:eastAsia="Arial" w:hAnsi="Arial"/>
          <w:sz w:val="24"/>
          <w:szCs w:val="24"/>
        </w:rPr>
        <w:t xml:space="preserve">, “ О мерах по обеспечению транспортного контроля и учета товаров в рамках торговли с государствами–членами Евразийского экономического союза при ввозе (импорте) в Кыргызскую Республику”. На основании земельного </w:t>
      </w:r>
      <w:hyperlink w:history="1" r:id="rId3ufbqcdwmin__rrhvj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ст.27.п.3.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АИЛЬНЫЙ КЕНЕШ АК-КУДУКСКОГО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дорог Кыргызской Республики считает возможным использовать земельный участок расположенный в Ысык-Атинском районе,Чуйской области на 0,5 км. от таможенного поста «Ак-Тилек» автомобильной дороги « Кант-Чуйский мост» на открытой дрене для полива и сброса воды,(канал ирригационной сети) для установки объекта в целях контроля и учета товаров при ввозе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iq8nvrmrxuh9ejsec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dalil.kg/document/420319</w:t>
      </w:r>
    </w:hyperlink>
  </w:p>
  <w:p>
    <w:pPr>
      <w:spacing w:after="0" w:before="40"/>
      <w:jc w:val="center"/>
    </w:pPr>
    <w:hyperlink w:history="1" r:id="rIdjg0ztcw-kca8bq69fn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iqnkohho4cauqcv7lt4" Type="http://schemas.openxmlformats.org/officeDocument/2006/relationships/hyperlink" Target="https://dalil.kg/document/12309" TargetMode="External"/><Relationship Id="rId3ufbqcdwmin__rrhvjyc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iq8nvrmrxuh9ejsecfm" Type="http://schemas.openxmlformats.org/officeDocument/2006/relationships/hyperlink" Target="https://dalil.kg/document/420319" TargetMode="External"/><Relationship Id="rIdjg0ztcw-kca8bq69fn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2026-10-04T16:01:45.568Z</dcterms:created>
  <dcterms:modified xsi:type="dcterms:W3CDTF">2026-10-04T16:01:45.568Z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