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ПЕРВОМАЙСКИЙ</w:t>
      </w:r>
      <w:r>
        <w:rPr>
          <w:rFonts w:ascii="Arial" w:cs="Arial" w:eastAsia="Arial" w:hAnsi="Arial"/>
          <w:sz w:val="24"/>
          <w:szCs w:val="24"/>
        </w:rPr>
        <w:t xml:space="preserve"> АЙЫЛНЫЙ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XVII сессии айыльного кенеша XXVII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30-января 2019-года №64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бюджета на 2019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Заслушав и обсудив заключение бюджетной комиссии по бюджету, экономике, предпринимательской деятельности и доклад начальника ФЭО Джумагуловой Н.Б. об утверждении бюджета за 2019 года, сессия Первомайского айыльного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представленный Первомайским айыл окмоту бюджет на 2019 год в сумме 23992,6тыс. сом с учетом спец.счета- 1300,0тыс.сом.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Определить, что доходная часть бюджета 2019 года составляет 23992,6 тыс. соми формируется за счет поступления местного и общегосударственныхналогов.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финансирование текущих расходов в 2019 года по разделам: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63"/>
        <w:gridCol w:w="1965"/>
        <w:gridCol w:w="2293"/>
        <w:gridCol w:w="1957"/>
      </w:tblGrid>
      <w:tr>
        <w:tc>
          <w:tcPr>
            <w:tcW w:type="dxa" w:w="39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19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Спец.счет</w:t>
            </w:r>
          </w:p>
        </w:tc>
        <w:tc>
          <w:tcPr>
            <w:tcW w:type="dxa" w:w="22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9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3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</w:t>
            </w:r>
          </w:p>
        </w:tc>
        <w:tc>
          <w:tcPr>
            <w:tcW w:type="dxa" w:w="1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4636,5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4636,5</w:t>
            </w:r>
          </w:p>
        </w:tc>
      </w:tr>
      <w:tr>
        <w:tc>
          <w:tcPr>
            <w:tcW w:type="dxa" w:w="3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</w:t>
            </w:r>
          </w:p>
        </w:tc>
        <w:tc>
          <w:tcPr>
            <w:tcW w:type="dxa" w:w="1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303,1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303,1</w:t>
            </w:r>
          </w:p>
        </w:tc>
      </w:tr>
      <w:tr>
        <w:tc>
          <w:tcPr>
            <w:tcW w:type="dxa" w:w="3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клуб</w:t>
            </w:r>
          </w:p>
        </w:tc>
        <w:tc>
          <w:tcPr>
            <w:tcW w:type="dxa" w:w="1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77,6</w:t>
            </w:r>
          </w:p>
        </w:tc>
      </w:tr>
      <w:tr>
        <w:tc>
          <w:tcPr>
            <w:tcW w:type="dxa" w:w="3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сады</w:t>
            </w:r>
          </w:p>
        </w:tc>
        <w:tc>
          <w:tcPr>
            <w:tcW w:type="dxa" w:w="1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1300,0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4273,4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5573,4</w:t>
            </w:r>
          </w:p>
        </w:tc>
      </w:tr>
      <w:tr>
        <w:tc>
          <w:tcPr>
            <w:tcW w:type="dxa" w:w="3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АСШ № 1-4</w:t>
            </w:r>
          </w:p>
        </w:tc>
        <w:tc>
          <w:tcPr>
            <w:tcW w:type="dxa" w:w="1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5043,7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5043,7</w:t>
            </w:r>
          </w:p>
        </w:tc>
      </w:tr>
      <w:tr>
        <w:tc>
          <w:tcPr>
            <w:tcW w:type="dxa" w:w="3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ЖКХ</w:t>
            </w:r>
          </w:p>
        </w:tc>
        <w:tc>
          <w:tcPr>
            <w:tcW w:type="dxa" w:w="1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7203,1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7203,1</w:t>
            </w:r>
          </w:p>
        </w:tc>
      </w:tr>
      <w:tr>
        <w:tc>
          <w:tcPr>
            <w:tcW w:type="dxa" w:w="3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хозяйствj</w:t>
            </w:r>
          </w:p>
        </w:tc>
        <w:tc>
          <w:tcPr>
            <w:tcW w:type="dxa" w:w="1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200,4</w:t>
            </w:r>
          </w:p>
        </w:tc>
      </w:tr>
      <w:tr>
        <w:tc>
          <w:tcPr>
            <w:tcW w:type="dxa" w:w="3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Жайыт комитет</w:t>
            </w:r>
          </w:p>
        </w:tc>
        <w:tc>
          <w:tcPr>
            <w:tcW w:type="dxa" w:w="1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</w:t>
            </w:r>
          </w:p>
        </w:tc>
      </w:tr>
      <w:tr>
        <w:tc>
          <w:tcPr>
            <w:tcW w:type="dxa" w:w="3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Соц.услуги</w:t>
            </w:r>
          </w:p>
        </w:tc>
        <w:tc>
          <w:tcPr>
            <w:tcW w:type="dxa" w:w="1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567,5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567,5</w:t>
            </w:r>
          </w:p>
        </w:tc>
      </w:tr>
      <w:tr>
        <w:tc>
          <w:tcPr>
            <w:tcW w:type="dxa" w:w="3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культ.меропр.</w:t>
            </w:r>
          </w:p>
        </w:tc>
        <w:tc>
          <w:tcPr>
            <w:tcW w:type="dxa" w:w="1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295,0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295,0</w:t>
            </w:r>
          </w:p>
        </w:tc>
      </w:tr>
      <w:tr>
        <w:tc>
          <w:tcPr>
            <w:tcW w:type="dxa" w:w="3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Гражданская оборона</w:t>
            </w:r>
          </w:p>
        </w:tc>
        <w:tc>
          <w:tcPr>
            <w:tcW w:type="dxa" w:w="1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70,3</w:t>
            </w:r>
          </w:p>
        </w:tc>
      </w:tr>
      <w:tr>
        <w:tc>
          <w:tcPr>
            <w:tcW w:type="dxa" w:w="3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1300,0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22692,6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23992,6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финансирование расходов из местного бюджета на 2019 год производится из фактических полученных доходов, в первоочередном порядке по защищенным статьям (зарплата, питание, платежи коммунальных услуг,соц.услуги).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Утвердить «Оборотно кассовую наличность» согласно Бюджетного </w:t>
      </w:r>
      <w:hyperlink w:history="1" r:id="rIde8eyhqfa_ofdrbt7-am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КР статья 110 № 60 от 16.05.2016 г в сумме 240,1 тыс.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Утвердить штатную численность: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70111 -17 единиц в том числе: глава -1 ед., ответ секретарь-1 ед., заведующая ФЭО -1 ед., главные специалисты -4 ед., вед.спец.-3 ед., специалист-2 ед., инспектор ВУС-3 ед., делопроизводитель-1ед., сторож-1 ед.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70821 – 4 единицы в том числе: Заведующая библиотеки-1 ед., библиотекарь-2 ед., кочегар 1 ед.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70823-1 единица сторожа.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на контрактной основе -6 единиц в том числе: уборщица -1 единица с окладом 2500 сом, 2 единицы -кочегара сокладом по 2500 сом на 5 месяцев отопительного сезона, сторож- 1 единица с окладом 3390 сома с учетом ночного дежурства, дворник -1 единица с окладом 2500 сом, технадзор с окладом 7000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Предусмотреть выплату коммунальных услуг на электроэнергию работникам образования,сотрудникам айыл окмоту , согласно Закона « </w:t>
      </w:r>
      <w:hyperlink w:history="1" r:id="rIdyvng6vj1lpnjzx3l9hd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учителя</w:t>
        </w:r>
      </w:hyperlink>
      <w:r>
        <w:rPr>
          <w:rFonts w:ascii="Arial" w:cs="Arial" w:eastAsia="Arial" w:hAnsi="Arial"/>
          <w:sz w:val="24"/>
          <w:szCs w:val="24"/>
        </w:rPr>
        <w:t xml:space="preserve">» и Закона «О государственной гражданской службе и муниципальной службе»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Предоставить право главе айыл окмоту,по согласованию с Московским районным управлением МФКР, уточнениедоходной и расходнойчастибюджета, согласно Бюджетного Кодекса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 Контроль над выполнением данного постановления возложить назаведующего ФЭО Джумагулову Н.Б.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а/кенеша: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Дунганов С.У.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ohjsxk8wbcchvltl6m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dalil.kg/document/423928</w:t>
      </w:r>
    </w:hyperlink>
  </w:p>
  <w:p>
    <w:pPr>
      <w:spacing w:after="0" w:before="40"/>
      <w:jc w:val="center"/>
    </w:pPr>
    <w:hyperlink w:history="1" r:id="rIdsvkrwg_nkih--c3lt60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8eyhqfa_ofdrbt7-amx1" Type="http://schemas.openxmlformats.org/officeDocument/2006/relationships/hyperlink" Target="https://dalil.kg/document/111338" TargetMode="External"/><Relationship Id="rIdyvng6vj1lpnjzx3l9hdqj" Type="http://schemas.openxmlformats.org/officeDocument/2006/relationships/hyperlink" Target="https://dalil.kg/document/20264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ohjsxk8wbcchvltl6mnx" Type="http://schemas.openxmlformats.org/officeDocument/2006/relationships/hyperlink" Target="https://dalil.kg/document/423928" TargetMode="External"/><Relationship Id="rIdsvkrwg_nkih--c3lt60w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2026-10-04T10:30:30.549Z</dcterms:created>
  <dcterms:modified xsi:type="dcterms:W3CDTF">2026-10-04T10:30:30.549Z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