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ноября</w:t>
      </w:r>
      <w:r>
        <w:rPr>
          <w:rFonts w:ascii="Arial" w:cs="Arial" w:eastAsia="Arial" w:hAnsi="Arial"/>
          <w:sz w:val="24"/>
          <w:szCs w:val="24"/>
        </w:rPr>
        <w:t xml:space="preserve"> 2021 года УП № </w:t>
      </w:r>
      <w:r>
        <w:rPr>
          <w:rFonts w:ascii="Arial" w:cs="Arial" w:eastAsia="Arial" w:hAnsi="Arial"/>
          <w:sz w:val="24"/>
          <w:szCs w:val="24"/>
        </w:rPr>
        <w:t xml:space="preserve">523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деятельности полномочных представителей Президента Кыргызской Республики в областях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частями 1, 2 </w:t>
      </w:r>
      <w:hyperlink w:history="1" r:id="rIdx6yn8murnuw1xwke9s4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частями 2, 6 </w:t>
      </w:r>
      <w:hyperlink w:history="1" r:id="rId_7vyspnhj0ytv8qpxdd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2 </w:t>
      </w:r>
      <w:hyperlink w:history="1" r:id="rIdz28hokrayf5gsbeo2fi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Баткенской области», руководствуясь </w:t>
      </w:r>
      <w:hyperlink w:history="1" r:id="rIdj8nomlhusv6fcn0z3mc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uqmvdd5t3yxa90ndtz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полномочном представителе Президента Кыргызской Республики в области» от 15 июля 2021 года № 302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4 слова «Полномочным представителям Президента Кыргызской Республики в областях» заменить словами «Полномочным представителям Президента Кыргызской Республики в областях, за исключением полномочного представителя Президента Кыргызской Республики в Баткенской области Кыргызской Республики,»;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xgeyhfmbxi6yv9hnpbm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полномочном представителе Президента Кыргызской Республики в области,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7 пункта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«7) осуществляет иные полномочия, определенные нормативными правовыми актами Кыргызской Республики и иными актами Президента Кыргызской Республики и Кабинета Министров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двенадцатый пункта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«− утверждает положение об аппарате полномочного представителя Президента Кыргызской Республики в области, за исключением положения об аппарате полномочного представителя Президента Кыргызской Республики в Баткенской области Кыргызской Республики, на основании Типового положения об аппарате полномочного представителя Президента Кыргызской Республики в области;»;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пункты 11,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«11. Должность полномочного представителя могут занимать лица, имеющие высшее образование, стаж работы на государственных и (или) муниципальных должностях по совокупности не менее 10 лет, из них на руководящих должностях 5 лет, а также лица, имеющие опыт руководящей работы в соответствующих сферах деятельности не менее 10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Полномочным представителем не может быть назначено лицо: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являющееся гражданином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имеющее гражданство другого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соответствующее требованиям, установленным пунктом 11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признанное решением суда недееспособным или ограниченно дееспособным либо которому решением суда запрещено осуществлять деятельность в качестве государственного служащего или занимать должности государственной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имеющее судимость, не погашенную в установленном законодательством порядке.»;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3mk9kcrse1pg2udhgln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полномочного представителя Президента Кыргызской Республики в области,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«8. Структура, за исключением структуры аппарата полномочного представителя Президента Кыргызской Республики в Баткенской области Кыргызской Республики, и штатное расписание аппарата полномочного представителя утверждаются Кабинетом Министров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pfec8zkgeoyqxuf3h-l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структуре и составе Кабинета Министров Кыргызской Республики и структуре Администрации Президента Кыргызской Республики» от 12 октября 2021 года № 425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заместитель Председателя Кабинета Министров Кыргызской Республики − полномочный представитель Президента Кыргызской Республики в Баткенской области Кыргызской Республики;».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3..Кабинету Министров Кыргызской Республики и полномочному представителю Президента Кыргызской Республики в Баткенской области Кыргызской Республики в двухмесячный срок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привести свои решения в соответствие с настоящим Указом;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принять иные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4..Контроль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5..Настоящий Указ вступает в силу по истечении 7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k8tqzcffnhjcc-opil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dalil.kg/document/430754</w:t>
      </w:r>
    </w:hyperlink>
  </w:p>
  <w:p>
    <w:pPr>
      <w:spacing w:after="0" w:before="40"/>
      <w:jc w:val="center"/>
    </w:pPr>
    <w:hyperlink w:history="1" r:id="rId-ydqsvnroqlvjwu0apa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6yn8murnuw1xwke9s4fl" Type="http://schemas.openxmlformats.org/officeDocument/2006/relationships/hyperlink" Target="https://dalil.kg/document/112301#st_8" TargetMode="External"/><Relationship Id="rId_7vyspnhj0ytv8qpxdd3q" Type="http://schemas.openxmlformats.org/officeDocument/2006/relationships/hyperlink" Target="https://dalil.kg/document/112298#st_8" TargetMode="External"/><Relationship Id="rIdz28hokrayf5gsbeo2fim0" Type="http://schemas.openxmlformats.org/officeDocument/2006/relationships/hyperlink" Target="https://dalil.kg/document/112298#st_12" TargetMode="External"/><Relationship Id="rIdj8nomlhusv6fcn0z3mchh" Type="http://schemas.openxmlformats.org/officeDocument/2006/relationships/hyperlink" Target="https://dalil.kg/document/112213#st_71" TargetMode="External"/><Relationship Id="rIdmuqmvdd5t3yxa90ndtz2a" Type="http://schemas.openxmlformats.org/officeDocument/2006/relationships/hyperlink" Target="https://dalil.kg/document/430532" TargetMode="External"/><Relationship Id="rIdxgeyhfmbxi6yv9hnpbme9" Type="http://schemas.openxmlformats.org/officeDocument/2006/relationships/hyperlink" Target="https://dalil.kg/document/430548" TargetMode="External"/><Relationship Id="rId3mk9kcrse1pg2udhglnny" Type="http://schemas.openxmlformats.org/officeDocument/2006/relationships/hyperlink" Target="https://dalil.kg/document/430549" TargetMode="External"/><Relationship Id="rIdpfec8zkgeoyqxuf3h-l2t" Type="http://schemas.openxmlformats.org/officeDocument/2006/relationships/hyperlink" Target="https://dalil.kg/document/43069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k8tqzcffnhjcc-opilt4" Type="http://schemas.openxmlformats.org/officeDocument/2006/relationships/hyperlink" Target="https://dalil.kg/document/430754" TargetMode="External"/><Relationship Id="rId-ydqsvnroqlvjwu0apa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2026-09-24T23:35:18.617Z</dcterms:created>
  <dcterms:modified xsi:type="dcterms:W3CDTF">2026-09-24T23:35:18.617Z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