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декабря </w:t>
      </w:r>
      <w:r>
        <w:rPr>
          <w:rFonts w:ascii="Arial" w:cs="Arial" w:eastAsia="Arial" w:hAnsi="Arial"/>
          <w:sz w:val="24"/>
          <w:szCs w:val="24"/>
        </w:rPr>
        <w:t xml:space="preserve">2021 года УП № </w:t>
      </w:r>
      <w:r>
        <w:rPr>
          <w:rFonts w:ascii="Arial" w:cs="Arial" w:eastAsia="Arial" w:hAnsi="Arial"/>
          <w:sz w:val="24"/>
          <w:szCs w:val="24"/>
        </w:rPr>
        <w:t xml:space="preserve">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поддержки малообеспеченных граждан (семей) в виде снижения размера платы за электрическую энергию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gyflgmcbo7cbg8wwhn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2026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малообеспеченным гражданам (семьям) в условиях роста цен на социально значимые товары, руководствуясь </w:t>
      </w:r>
      <w:hyperlink w:history="1" r:id="rIdhoq25ih4qxlc1lr9ub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 1 января 2022 года </w:t>
      </w:r>
      <w:r>
        <w:rPr>
          <w:rFonts w:ascii="Arial" w:cs="Arial" w:eastAsia="Arial" w:hAnsi="Arial"/>
          <w:sz w:val="24"/>
          <w:szCs w:val="24"/>
        </w:rPr>
        <w:t xml:space="preserve">до 1 января 2027 года</w:t>
      </w:r>
      <w:r>
        <w:rPr>
          <w:rFonts w:ascii="Arial" w:cs="Arial" w:eastAsia="Arial" w:hAnsi="Arial"/>
          <w:sz w:val="24"/>
          <w:szCs w:val="24"/>
        </w:rPr>
        <w:t xml:space="preserve"> тариф на электрическую энергию для нуждающихся граждан (семей), имеющих детей до 16 лет, получающих государственное пособие «уй-булого комок», в размере 50,0 тыйынов за 1 кВтч при потреблении до 700 кВтч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2027 года внедрить механизм оказания государственной поддержки нуждающимся семьям, имеющим детей до 16 лет, получающим государственное пособие "үй-бүлөгө көмөк", взамен льгот за электрическую энергию, предусматривающий компенсацию в размере разницы между тарифом, установленным для населения при потреблении до 700 кВтч в месяц, и тарифом в размере 50,0 тыйынов за 1 кВтч в пределах следующих объемов потребления электрической энергии: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летний период (с 1 апреля по 1 октября) - в объеме 400 кВтч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зимний период (с 1 октября по 1 апреля) - в объеме 700 кВтч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Указа, в том числе предусматривающие внесение в установленном порядке изменений в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v-x2kq2nepyzvwjmtt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2026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4gp_jirzpu_bkvk7v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dalil.kg/document/430771</w:t>
      </w:r>
    </w:hyperlink>
  </w:p>
  <w:p>
    <w:pPr>
      <w:spacing w:after="0" w:before="40"/>
      <w:jc w:val="center"/>
    </w:pPr>
    <w:hyperlink w:history="1" r:id="rIdacjyxfky59m90i57ipx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yflgmcbo7cbg8wwhndm" Type="http://schemas.openxmlformats.org/officeDocument/2006/relationships/hyperlink" Target="https://dalil.kg/document/230044837" TargetMode="External"/><Relationship Id="rIdhoq25ih4qxlc1lr9ubmel" Type="http://schemas.openxmlformats.org/officeDocument/2006/relationships/hyperlink" Target="https://dalil.kg/document/112213#st_71" TargetMode="External"/><Relationship Id="rIdiv-x2kq2nepyzvwjmtthl" Type="http://schemas.openxmlformats.org/officeDocument/2006/relationships/hyperlink" Target="https://dalil.kg/document/2300448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4gp_jirzpu_bkvk7vj4" Type="http://schemas.openxmlformats.org/officeDocument/2006/relationships/hyperlink" Target="https://dalil.kg/document/430771" TargetMode="External"/><Relationship Id="rIdacjyxfky59m90i57ipx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2026-09-24T12:08:02.757Z</dcterms:created>
  <dcterms:modified xsi:type="dcterms:W3CDTF">2026-09-24T12:08:02.757Z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