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Бишкек, Дом Правительства от 9 марта  1995  года N 50-р РАСПОРЯЖЕНИЕ ПРАВИТЕЛЬСТВА КЫРГЫЗСКОЙ РЕСПУБЛИКИ      В связи  с  подготовкой и проведением общенационального праздникаНооруз:     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lpc89srshozm_dntefz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 КР от 11 февраля  2022 года № 57-р)</w:t>
      </w:r>
      <w:r>
        <w:rPr>
          <w:rFonts w:ascii="Arial" w:cs="Arial" w:eastAsia="Arial" w:hAnsi="Arial"/>
          <w:sz w:val="24"/>
          <w:szCs w:val="24"/>
        </w:rPr>
        <w:t xml:space="preserve">     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gwsi5fibwah8lxvuz8em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 КР от 11 февраля  2022 года № 57-р)</w:t>
      </w:r>
      <w:r>
        <w:rPr>
          <w:rFonts w:ascii="Arial" w:cs="Arial" w:eastAsia="Arial" w:hAnsi="Arial"/>
          <w:sz w:val="24"/>
          <w:szCs w:val="24"/>
        </w:rPr>
        <w:t xml:space="preserve">     3. Минфину Кыргызской Республики  выделить  из  резервного  фондаПравительства  Кыргызской  Республики  органу  местного самоуправлениягор.Бишкека 150 тыс.сомов на проведение  мероприятий  по  празднованиюНооруза в столице республики.      Премьер-министр                                   А.Джумагулов                               Приложение                     к распоряжению Правительства                        Кыргызской Республики                     от 9 марта 1995 года N 50-р                                 СОСТАВ                     организационного комитета по                 подготовке и проведению мероприятий,                     посвященных празднику Нооруз      Ибраимов О.И.       - Вице-премьер-министр Кыргызской                           Республики, председатель оргкомитета      Базарбаев Ч.Б.      - Министр культуры Кыргызской Республики,                           заместитель председателя оргкомитета      Силаев Б.И.         - глава местного самоуправления                           гор.Бишкека, заместитель председателя                           оргкомитета      Ракимбаев Э.Н.      - референт отдела социально-культурной                           сферы Аппарата Правительства Кыргызской                           Республики, ответственный секретарь                           оргкомитета                         Члены оргкомитета:      Бектенов Э.З.       - Министр связи Кыргызской Республики      Иордан А.А.         - Министр промышленности и торговли                           Кыргызской Республики      Какеев А.Ч.         - Министр образования и науки Кыргызской                           Республики      Капаров М.К.        - Председатель Госкомитета Кыргызской                           Республики по туризму и спорту      Талгарбеков Б.Т.    - и.о.Министра сельского хозяйства и                           продовольствия Кыргызской Республики      Абдуллаева У.А.     - заместитель Министра финансов                           Кыргызской Республики      Кененбаева К.Н.     - заведующая отделом анализа политических                           и социальных проблем Администрации                           Президента Кыргызской Республики      Исаков К.И.         - заведующий отделом социально-                           культурной сферы Аппарата Правительства                           Кыргызской Республики      Касымов Т.К.        - глава Таласской облгосадминистрации      Асейинов М.А.       - первый заместитель главы Чуйской                           облгосадминистрации      Сыдыков М.          - заместитель главы Иссык-Кульской                           облгосадминистрации      Жолдошев Р.         - заместитель главы Ошской                           облгосадминистрации      Тологонов Р.        - заместитель главы Джалал-Абадской                           облгосадминистрации      Акматалиев А.       - первый заместитель главы Нарынской                           облгосадминистрации      Матисаков А.М.      - президент Государственной национальной                           телерадиовещательной компании      Атамбаев А.Ш.       - председатель правления фирмы "Форум"      Воробьев Б.Д.       - президент фирмы "Феникс"       Заместитель Руководителя Аппарата     Правительства Кыргызской Республики                  Г.Редин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fdboxekockfe3err4x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dalil.kg/document/43083</w:t>
      </w:r>
    </w:hyperlink>
  </w:p>
  <w:p>
    <w:pPr>
      <w:spacing w:after="0" w:before="40"/>
      <w:jc w:val="center"/>
    </w:pPr>
    <w:hyperlink w:history="1" r:id="rId8bya6dg6b3wpd7g9ani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c89srshozm_dntefzwl" Type="http://schemas.openxmlformats.org/officeDocument/2006/relationships/hyperlink" Target="https://dalil.kg/document/510203" TargetMode="External"/><Relationship Id="rIdgwsi5fibwah8lxvuz8emb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fdboxekockfe3err4xbp" Type="http://schemas.openxmlformats.org/officeDocument/2006/relationships/hyperlink" Target="https://dalil.kg/document/43083" TargetMode="External"/><Relationship Id="rId8bya6dg6b3wpd7g9ani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2026-09-25T03:06:57.009Z</dcterms:created>
  <dcterms:modified xsi:type="dcterms:W3CDTF">2026-09-25T03:06:57.009Z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