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ПОЛОЖЕНИЕ
 о порядке выдачи и применения марок акцизного сбора в Кыргызской Республике</w:t>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cg7mluoa9a4kd7kpkfb1">
        <w:r>
          <w:rPr>
            <w:rFonts w:ascii="Arial" w:cs="Arial" w:eastAsia="Arial" w:hAnsi="Arial"/>
            <w:i/>
            <w:iCs/>
            <w:color w:val="1D4ED8"/>
            <w:sz w:val="24"/>
            <w:szCs w:val="24"/>
            <w:u w:val="single"/>
          </w:rPr>
          <w:t xml:space="preserve">17 февраля 2023 года № 82</w:t>
        </w:r>
      </w:hyperlink>
      <w:r>
        <w:rPr>
          <w:rFonts w:ascii="Arial" w:cs="Arial" w:eastAsia="Arial" w:hAnsi="Arial"/>
          <w:i/>
          <w:iCs/>
          <w:sz w:val="24"/>
          <w:szCs w:val="24"/>
        </w:rPr>
        <w:t xml:space="preserve">, </w:t>
      </w:r>
      <w:hyperlink w:history="1" r:id="rIdotz6soedzxjazjo6v-bnr">
        <w:r>
          <w:rPr>
            <w:rFonts w:ascii="Arial" w:cs="Arial" w:eastAsia="Arial" w:hAnsi="Arial"/>
            <w:i/>
            <w:iCs/>
            <w:color w:val="1D4ED8"/>
            <w:sz w:val="24"/>
            <w:szCs w:val="24"/>
            <w:u w:val="single"/>
          </w:rPr>
          <w:t xml:space="preserve">13 сентября 2023 года № 470</w:t>
        </w:r>
      </w:hyperlink>
      <w:r>
        <w:rPr>
          <w:rFonts w:ascii="Arial" w:cs="Arial" w:eastAsia="Arial" w:hAnsi="Arial"/>
          <w:i/>
          <w:iCs/>
          <w:sz w:val="24"/>
          <w:szCs w:val="24"/>
        </w:rPr>
        <w:t xml:space="preserve">, </w:t>
      </w:r>
      <w:hyperlink w:history="1" r:id="rIdgii0wtir78r4viy5gwthy">
        <w:r>
          <w:rPr>
            <w:rFonts w:ascii="Arial" w:cs="Arial" w:eastAsia="Arial" w:hAnsi="Arial"/>
            <w:i/>
            <w:iCs/>
            <w:color w:val="1D4ED8"/>
            <w:sz w:val="24"/>
            <w:szCs w:val="24"/>
            <w:u w:val="single"/>
          </w:rPr>
          <w:t xml:space="preserve">4 декабря 2023 года № 632</w:t>
        </w:r>
      </w:hyperlink>
      <w:r>
        <w:rPr>
          <w:rFonts w:ascii="Arial" w:cs="Arial" w:eastAsia="Arial" w:hAnsi="Arial"/>
          <w:sz w:val="20"/>
          <w:szCs w:val="20"/>
        </w:rPr>
        <w:t xml:space="preserve">, </w:t>
      </w:r>
      <w:hyperlink w:history="1" r:id="rIdtcd6lde3xyz9pks_bkjyz">
        <w:r>
          <w:rPr>
            <w:rFonts w:ascii="Arial" w:cs="Arial" w:eastAsia="Arial" w:hAnsi="Arial"/>
            <w:i/>
            <w:iCs/>
            <w:color w:val="1D4ED8"/>
            <w:sz w:val="24"/>
            <w:szCs w:val="24"/>
            <w:u w:val="single"/>
          </w:rPr>
          <w:t xml:space="preserve">15 марта 2024 года № 118</w:t>
        </w:r>
      </w:hyperlink>
      <w:r>
        <w:rPr>
          <w:rFonts w:ascii="Arial" w:cs="Arial" w:eastAsia="Arial" w:hAnsi="Arial"/>
          <w:sz w:val="20"/>
          <w:szCs w:val="20"/>
        </w:rPr>
        <w:t xml:space="preserve">,</w:t>
      </w:r>
      <w:hyperlink w:history="1" r:id="rIdj7huvf5fbfakdbku8hynn">
        <w:r>
          <w:rPr>
            <w:rFonts w:ascii="Arial" w:cs="Arial" w:eastAsia="Arial" w:hAnsi="Arial"/>
            <w:i/>
            <w:iCs/>
            <w:color w:val="1D4ED8"/>
            <w:sz w:val="24"/>
            <w:szCs w:val="24"/>
            <w:u w:val="single"/>
          </w:rPr>
          <w:t xml:space="preserve">12 апреля 2024 года № 169</w:t>
        </w:r>
      </w:hyperlink>
      <w:r>
        <w:rPr>
          <w:rFonts w:ascii="Arial" w:cs="Arial" w:eastAsia="Arial" w:hAnsi="Arial"/>
          <w:sz w:val="20"/>
          <w:szCs w:val="20"/>
        </w:rPr>
        <w:t xml:space="preserve">, </w:t>
      </w:r>
      <w:hyperlink w:history="1" r:id="rIdlvngtj7lyiflpcz0yxx6o">
        <w:r>
          <w:rPr>
            <w:rFonts w:ascii="Arial" w:cs="Arial" w:eastAsia="Arial" w:hAnsi="Arial"/>
            <w:i/>
            <w:iCs/>
            <w:color w:val="1D4ED8"/>
            <w:sz w:val="24"/>
            <w:szCs w:val="24"/>
            <w:u w:val="single"/>
          </w:rPr>
          <w:t xml:space="preserve">24 июня 2024 года № 328, </w:t>
        </w:r>
      </w:hyperlink>
      <w:hyperlink w:history="1" r:id="rIdqlbf3oboc_nqghkitb7de">
        <w:r>
          <w:rPr>
            <w:rFonts w:ascii="Arial" w:cs="Arial" w:eastAsia="Arial" w:hAnsi="Arial"/>
            <w:i/>
            <w:iCs/>
            <w:color w:val="1D4ED8"/>
            <w:sz w:val="24"/>
            <w:szCs w:val="24"/>
            <w:u w:val="single"/>
          </w:rPr>
          <w:t xml:space="preserve">27 августа 2024 года № 525, </w:t>
        </w:r>
      </w:hyperlink>
      <w:hyperlink w:history="1" r:id="rIdojzotufrpf1gcxbqysuzk">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200" w:before="20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требованиями статьи 345 Налогового кодекса Кыргызской Республики и определяет порядок приобретения и применения марок акцизного сбора на территории Кыргызской Республики.</w:t>
      </w:r>
    </w:p>
    <w:p>
      <w:pPr>
        <w:spacing w:after="120"/>
        <w:jc w:val="both"/>
      </w:pPr>
      <w:r>
        <w:rPr>
          <w:rFonts w:ascii="Arial" w:cs="Arial" w:eastAsia="Arial" w:hAnsi="Arial"/>
          <w:sz w:val="24"/>
          <w:szCs w:val="24"/>
        </w:rPr>
        <w:t xml:space="preserve">В целях настоящего Положения использованы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осуществляющий ввоз на территорию Кыргызской Республики маркируемой продукции;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уполномоченный банк</w:t>
      </w:r>
      <w:r>
        <w:rPr>
          <w:rFonts w:ascii="Arial" w:cs="Arial" w:eastAsia="Arial" w:hAnsi="Arial"/>
          <w:sz w:val="24"/>
          <w:szCs w:val="24"/>
        </w:rPr>
        <w:t xml:space="preserve"> - коммерческий банк, заключивший договор на обслуживание с уполномоченным налоговым органом и имеющий лицензию или свидетельство Национального банка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маркируемая продукция</w:t>
      </w:r>
      <w:r>
        <w:rPr>
          <w:rFonts w:ascii="Arial" w:cs="Arial" w:eastAsia="Arial" w:hAnsi="Arial"/>
          <w:sz w:val="24"/>
          <w:szCs w:val="24"/>
        </w:rPr>
        <w:t xml:space="preserve"> - производимые на территории Кыргызской Республики и импортируемые на территорию Кыргызской Республики подакцизные товары, перечень которых указан в пунктах 2-8 части 1 </w:t>
      </w:r>
      <w:r>
        <w:rPr>
          <w:rFonts w:ascii="Arial" w:cs="Arial" w:eastAsia="Arial" w:hAnsi="Arial"/>
          <w:sz w:val="24"/>
          <w:szCs w:val="24"/>
        </w:rPr>
        <w:t xml:space="preserve">статьи 334</w:t>
      </w:r>
      <w:r>
        <w:rPr>
          <w:rFonts w:ascii="Arial" w:cs="Arial" w:eastAsia="Arial" w:hAnsi="Arial"/>
          <w:sz w:val="24"/>
          <w:szCs w:val="24"/>
        </w:rPr>
        <w:t xml:space="preserve"> Налогового кодекса Кыргызской Республики (за исключением сусла виноградного, код ТН ВЭД 220430), и масла смазочные, масла прочие, присадки к смазочным маслам, содержащие нефть или нефтепродукты, полученные из битуминозных пород, классифицируемые в товарной позиции ТН ВЭД 2710197100-2710199800, 3403199000 и 3811210000, а также жидкие очистители, спреи для автомобилей и уайт-спирит, не предназначенные для использования в качестве автомобильного топлива, расфасованные в тару объемом 10 литров и менее, классифицируемые в товарных позициях ТН ВЭД 3811190000, 2710122509, 2710122100;</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номинальная стоимость акцизной марки</w:t>
      </w:r>
      <w:r>
        <w:rPr>
          <w:rFonts w:ascii="Arial" w:cs="Arial" w:eastAsia="Arial" w:hAnsi="Arial"/>
          <w:sz w:val="24"/>
          <w:szCs w:val="24"/>
        </w:rPr>
        <w:t xml:space="preserve"> - отпускная цена акцизной марки при реализации через уполномоченный банк;</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марка (наименование) табачного изделия</w:t>
      </w:r>
      <w:r>
        <w:rPr>
          <w:rFonts w:ascii="Arial" w:cs="Arial" w:eastAsia="Arial" w:hAnsi="Arial"/>
          <w:sz w:val="24"/>
          <w:szCs w:val="24"/>
        </w:rPr>
        <w:t xml:space="preserve">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электронно-информационный элемент</w:t>
      </w:r>
      <w:r>
        <w:rPr>
          <w:rFonts w:ascii="Arial" w:cs="Arial" w:eastAsia="Arial" w:hAnsi="Arial"/>
          <w:sz w:val="24"/>
          <w:szCs w:val="24"/>
        </w:rPr>
        <w:t xml:space="preserve"> - элемент на акцизной марке, определяемый электронными устройствами и/или программными приложениями, способный нести в себе информацию, позволяющий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орган налоговой службы</w:t>
      </w:r>
      <w:r>
        <w:rPr>
          <w:rFonts w:ascii="Arial" w:cs="Arial" w:eastAsia="Arial" w:hAnsi="Arial"/>
          <w:sz w:val="24"/>
          <w:szCs w:val="24"/>
        </w:rPr>
        <w:t xml:space="preserve"> - уполномоченный налоговый орган и территориальные налоговые органы.</w:t>
      </w:r>
    </w:p>
    <w:p>
      <w:pPr>
        <w:spacing w:after="120"/>
        <w:jc w:val="both"/>
      </w:pPr>
      <w:r>
        <w:rPr>
          <w:rFonts w:ascii="Arial" w:cs="Arial" w:eastAsia="Arial" w:hAnsi="Arial"/>
          <w:sz w:val="24"/>
          <w:szCs w:val="24"/>
        </w:rPr>
        <w:t xml:space="preserve">Понятия, используемые в настоящем Положении, трактуются в значении, определенном Налоговым кодексом Кыргызской Республики и/или Таможенным кодексом Таможенного союза Евразийского экономического союза.</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банковская гарантия</w:t>
      </w:r>
      <w:r>
        <w:rPr>
          <w:rFonts w:ascii="Arial" w:cs="Arial" w:eastAsia="Arial" w:hAnsi="Arial"/>
          <w:sz w:val="24"/>
          <w:szCs w:val="24"/>
        </w:rPr>
        <w:t xml:space="preserve"> - это письменное обязательство коммерческого банка Кыргызской Республики, выступающего гарантом оплатить органу налоговой службы сумму обязательства в размере акцизного налога, указанную в банковской гарантии налогоплательщика, в случае неуплаты акцизного налога налогоплательщиком до 40 календарных дней с даты подачи заявки на получение акцизных марок, но не позднее 20 числа месяца, следующего за отчетным налоговым периодом.</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w:t>
      </w:r>
      <w:r>
        <w:rPr>
          <w:rFonts w:ascii="Arial" w:cs="Arial" w:eastAsia="Arial" w:hAnsi="Arial"/>
          <w:sz w:val="24"/>
          <w:szCs w:val="24"/>
        </w:rPr>
        <w:t xml:space="preserve"> - государственный орган исполнительной власти Кыргызской Республики, определяемый Кабинетом Министров Кыргызской Республики, осуществляющий обеспечение единой государственной политики в области производства, импорта, хранения и оборота этилового спирта, алкогольной и спиртосодержащей продукции, и осуществляющий государственный контроль в сфере производства и оборота этилового спирта, алкогольной и спиртосодержащей продукции.</w:t>
      </w:r>
    </w:p>
    <w:p>
      <w:pPr>
        <w:spacing w:after="120"/>
        <w:jc w:val="both"/>
      </w:pPr>
      <w:r>
        <w:rPr>
          <w:rFonts w:ascii="Arial" w:cs="Arial" w:eastAsia="Arial" w:hAnsi="Arial"/>
          <w:sz w:val="24"/>
          <w:szCs w:val="24"/>
        </w:rPr>
        <w:t xml:space="preserve">Понятия, используемые в настоящем Положении, трактуются в значении, определенном Налоговым </w:t>
      </w:r>
      <w:hyperlink w:history="1" r:id="rIdniszl-q-6v6chiiidxld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и/или Таможенным </w:t>
      </w:r>
      <w:hyperlink w:history="1" r:id="rIdxqn3cioxdsqznhyf-mn9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Евразийского экономического союза.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qzwgio9vlhs0dswo4lk5">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hyperlink w:history="1" r:id="rIdvt4hwuvfcc41ux3w4rhyi">
        <w:r>
          <w:rPr>
            <w:rFonts w:ascii="Arial" w:cs="Arial" w:eastAsia="Arial" w:hAnsi="Arial"/>
            <w:color w:val="1D4ED8"/>
            <w:sz w:val="24"/>
            <w:szCs w:val="24"/>
            <w:u w:val="single"/>
          </w:rPr>
          <w:t xml:space="preserve">4 декабря 2023 года № 632</w:t>
        </w:r>
      </w:hyperlink>
      <w:r>
        <w:rPr>
          <w:rFonts w:ascii="Arial" w:cs="Arial" w:eastAsia="Arial" w:hAnsi="Arial"/>
          <w:sz w:val="24"/>
          <w:szCs w:val="24"/>
        </w:rPr>
        <w:t xml:space="preserve">, </w:t>
      </w:r>
      <w:hyperlink w:history="1" r:id="rIdkci94qn3ip5s1dqofu_eo">
        <w:r>
          <w:rPr>
            <w:rFonts w:ascii="Arial" w:cs="Arial" w:eastAsia="Arial" w:hAnsi="Arial"/>
            <w:color w:val="1D4ED8"/>
            <w:sz w:val="24"/>
            <w:szCs w:val="24"/>
            <w:u w:val="single"/>
          </w:rPr>
          <w:t xml:space="preserve">12 апреля 2024 года № 169, </w:t>
        </w:r>
      </w:hyperlink>
      <w:hyperlink w:history="1" r:id="rIdjikt4cosuwlxkcxdprczz">
        <w:r>
          <w:rPr>
            <w:rFonts w:ascii="Arial" w:cs="Arial" w:eastAsia="Arial" w:hAnsi="Arial"/>
            <w:color w:val="1D4ED8"/>
            <w:sz w:val="24"/>
            <w:szCs w:val="24"/>
            <w:u w:val="single"/>
          </w:rPr>
          <w:t xml:space="preserve">27 августа 2024 года № 525</w:t>
        </w:r>
      </w:hyperlink>
      <w:r>
        <w:rPr>
          <w:rFonts w:ascii="Arial" w:cs="Arial" w:eastAsia="Arial" w:hAnsi="Arial"/>
          <w:sz w:val="24"/>
          <w:szCs w:val="24"/>
        </w:rPr>
        <w:t xml:space="preserve">,</w:t>
      </w:r>
      <w:hyperlink w:history="1" r:id="rIdnmkekeccsnmalwnn5h9y5">
        <w:r>
          <w:rPr>
            <w:rFonts w:ascii="Arial" w:cs="Arial" w:eastAsia="Arial" w:hAnsi="Arial"/>
            <w:color w:val="1D4ED8"/>
            <w:sz w:val="24"/>
            <w:szCs w:val="24"/>
            <w:u w:val="single"/>
          </w:rPr>
          <w:t xml:space="preserve"> 4 апреля 2025 года № 179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Организациям, индивидуальным предпринимателям и физическим лицам запрещается на территории Кыргызской Республики отгрузка и реализация маркируемой продукции, не обозначенной акцизными марками, а также ввоз на территорию Кыргызской Республики, транспортировка, прием на комиссию или консигнацию маркируемой продукции без акцизных марок.</w:t>
      </w:r>
    </w:p>
    <w:p>
      <w:pPr>
        <w:spacing w:after="60"/>
        <w:ind w:firstLine="567"/>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маркируемой продукции, не обозначенной акцизными марками, в пределах норм, установленных законодательством Кыргызской Республики.</w:t>
      </w:r>
    </w:p>
    <w:p>
      <w:pPr>
        <w:spacing w:after="120"/>
        <w:jc w:val="both"/>
      </w:pPr>
      <w:r>
        <w:rPr>
          <w:rFonts w:ascii="Arial" w:cs="Arial" w:eastAsia="Arial" w:hAnsi="Arial"/>
          <w:sz w:val="24"/>
          <w:szCs w:val="24"/>
        </w:rPr>
        <w:t xml:space="preserve">3. Маркировке маркой акцизного сбора подлежат производимые на территории Кыргызской Республики и импортируемые на территорию Кыргызской Республики подакцизные товары, перечень которых указан в пунктах 2-8 части 1 </w:t>
      </w:r>
      <w:r>
        <w:rPr>
          <w:rFonts w:ascii="Arial" w:cs="Arial" w:eastAsia="Arial" w:hAnsi="Arial"/>
          <w:sz w:val="24"/>
          <w:szCs w:val="24"/>
        </w:rPr>
        <w:t xml:space="preserve">статьи 334</w:t>
      </w:r>
      <w:r>
        <w:rPr>
          <w:rFonts w:ascii="Arial" w:cs="Arial" w:eastAsia="Arial" w:hAnsi="Arial"/>
          <w:sz w:val="24"/>
          <w:szCs w:val="24"/>
        </w:rPr>
        <w:t xml:space="preserve"> Налогового кодекса Кыргызской Республики (за исключением сусла виноградного, код ТН ВЭД 220430), и масла смазочные, масла прочие, присадки к смазочным маслам, содержащие нефть или нефтепродукты, полученные из битуминозных пород, классифицируемые в товарной позиции ТН ВЭД 2710197100-2710199800, 3403199000 и 3811210000, а также жидкие очистители, спреи для автомобилей и уайт-спирит, не предназначенные для использования в качестве автомобильного топлива, расфасованные в тару объемом 10 литров и менее, классифицируемые в товарных позициях ТН ВЭД 3811190000, 2710122509, 2710122100. Маркировка подакцизной продукции по видам, наименованиям и емкости (для алкогольных изделий и воды, включая минеральные и газированные, содержащие добавки сахара или других подслащивающих, или вкусоароматических веществ) производится в соответствии с типами и номерами акцизных марок, указанными в решении органа налоговой службы о выдаче акцизных марок.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izldmj29-2pctmrsormr">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Кабинетом Министров Кыргызской Республики определяются сроки обязательной маркировки и запрета на оборот немаркированной маркой акцизного сбора следующих подакцизных товаров:</w:t>
      </w:r>
    </w:p>
    <w:p>
      <w:pPr>
        <w:spacing w:after="60"/>
        <w:ind w:firstLine="567"/>
        <w:jc w:val="both"/>
      </w:pPr>
      <w:r>
        <w:rPr>
          <w:rFonts w:ascii="Arial" w:cs="Arial" w:eastAsia="Arial" w:hAnsi="Arial"/>
          <w:sz w:val="24"/>
          <w:szCs w:val="24"/>
        </w:rPr>
        <w:t xml:space="preserve">- пиво, расфасованное и нефасованное, классифицируемое в товарной позиции ТН ВЭД 2203;</w:t>
      </w:r>
    </w:p>
    <w:p>
      <w:pPr>
        <w:spacing w:after="60"/>
        <w:ind w:firstLine="567"/>
        <w:jc w:val="both"/>
      </w:pPr>
      <w:r>
        <w:rPr>
          <w:rFonts w:ascii="Arial" w:cs="Arial" w:eastAsia="Arial" w:hAnsi="Arial"/>
          <w:sz w:val="24"/>
          <w:szCs w:val="24"/>
        </w:rPr>
        <w:t xml:space="preserve">- тонизирующие (энергетические) безалкогольные напитки, классифицируемые в товарной позиции ТН ВЭД 2202;</w:t>
      </w:r>
    </w:p>
    <w:p>
      <w:pPr>
        <w:spacing w:after="60"/>
        <w:ind w:firstLine="567"/>
        <w:jc w:val="both"/>
      </w:pPr>
      <w:r>
        <w:rPr>
          <w:rFonts w:ascii="Arial" w:cs="Arial" w:eastAsia="Arial" w:hAnsi="Arial"/>
          <w:sz w:val="24"/>
          <w:szCs w:val="24"/>
        </w:rPr>
        <w:t xml:space="preserve">- табачные изделия, указанные в подпунктах 6, 7 и 8 пункта 1 </w:t>
      </w:r>
      <w:r>
        <w:rPr>
          <w:rFonts w:ascii="Arial" w:cs="Arial" w:eastAsia="Arial" w:hAnsi="Arial"/>
          <w:sz w:val="24"/>
          <w:szCs w:val="24"/>
        </w:rPr>
        <w:t xml:space="preserve">статьи 334</w:t>
      </w:r>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5. Маркируемая продукция, произведенная налогоплательщиком для экспорта, не подлежит маркировке акцизными марками при отправке на экспорт. Запрещается реализация на территории Кыргызской Республики продукции, подлежащей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акцизными марками.</w:t>
      </w:r>
    </w:p>
    <w:p>
      <w:pPr>
        <w:spacing w:after="120"/>
        <w:jc w:val="both"/>
      </w:pPr>
      <w:r>
        <w:rPr>
          <w:rFonts w:ascii="Arial" w:cs="Arial" w:eastAsia="Arial" w:hAnsi="Arial"/>
          <w:sz w:val="24"/>
          <w:szCs w:val="24"/>
        </w:rPr>
        <w:t xml:space="preserve">6. Наличие акцизной марки на бутылке, пачке или другой таре, в которую разлита или расфасована маркируемая продукция,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изделий согласно технологическому процессу или хранения для вывоза с территории Кыргызской Республики).</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Маркировка пива, разлитого в полимерную кегу, упакованную в одноразовую картонную коробку, в которой полимерный кег реализуется без возможности отделения от данной коробки или повторного использования данной картонной коробки, осуществляется нанесением на картонную коробку.</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o6mkdgfnypvvy3h6vuwu">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Маркировка осуществляется способом, исключающим повторное использование акцизных марок. </w:t>
      </w:r>
      <w:r>
        <w:rPr>
          <w:rFonts w:ascii="Arial" w:cs="Arial" w:eastAsia="Arial" w:hAnsi="Arial"/>
          <w:sz w:val="24"/>
          <w:szCs w:val="24"/>
        </w:rPr>
        <w:t xml:space="preserve">Место наклейки должно определяться так, чтобы акцизная марка разрывалась во время раскупорки (раскрытия) бутылки, пачки или иной тары, за исключением бутылки или иной тары для воды, включая минеральные и газированные, содержащие добавки сахара или других подслащивающих или вкусо-ароматических веществ, классифицируемой в товарной позиции ТН ВЭД 2202.</w:t>
      </w:r>
      <w:r>
        <w:rPr>
          <w:rFonts w:ascii="Arial" w:cs="Arial" w:eastAsia="Arial" w:hAnsi="Arial"/>
          <w:sz w:val="24"/>
          <w:szCs w:val="24"/>
        </w:rPr>
        <w:t xml:space="preserve"> При нанесении акцизных марок должен использоваться клей, не позволяющий снять акцизную марку с товара без ее повреждения.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muje87jaqtbvzg7tscar">
        <w:r>
          <w:rPr>
            <w:rFonts w:ascii="Arial" w:cs="Arial" w:eastAsia="Arial" w:hAnsi="Arial"/>
            <w:color w:val="1D4ED8"/>
            <w:sz w:val="24"/>
            <w:szCs w:val="24"/>
            <w:u w:val="single"/>
          </w:rPr>
          <w:t xml:space="preserve">15 марта 2024 года № </w:t>
        </w:r>
      </w:hyperlink>
      <w:r>
        <w:rPr>
          <w:rFonts w:ascii="Arial" w:cs="Arial" w:eastAsia="Arial" w:hAnsi="Arial"/>
          <w:sz w:val="24"/>
          <w:szCs w:val="24"/>
        </w:rPr>
        <w:t xml:space="preserve">118)</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Маркировка вод, включая минеральные и газированные, содержащие добавки сахара или других подслащивающих или вкусо-ароматических веществ, классифицируемых в товарной позиции ТН ВЭД 2202, осуществляется на крышку или место, предназначенное для открытия продукции. На продукцию, классифицируемую в товарной позиции ТН ВЭД 2202, разлитую в алюминиевую банку или тетрапак, предназначенные для одноразового использования, маркировка допускается на любую более плоскую часть поверхности тары.</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38vgghso59_i6num12d6">
        <w:r>
          <w:rPr>
            <w:rFonts w:ascii="Arial" w:cs="Arial" w:eastAsia="Arial" w:hAnsi="Arial"/>
            <w:color w:val="1D4ED8"/>
            <w:sz w:val="24"/>
            <w:szCs w:val="24"/>
            <w:u w:val="single"/>
          </w:rPr>
          <w:t xml:space="preserve">15 марта 2024 года № 118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На пачке табачных изделий, классифицируемых в товарной позиции ТН ВЭД 2402 и 2404,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акцизных марок и указание сведений о дате изготовления производятся в обязательном порядке под целлофановую упаковку.</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waddcncp_iey-mzjxkinp">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Не допускается нанесение поверх надписи сведений о дате изготовления табачных изделий каких-либо элементов упаковки (пачки) либо наклеивание акцизной марки.</w:t>
      </w:r>
    </w:p>
    <w:p>
      <w:pPr>
        <w:spacing w:after="60"/>
        <w:ind w:firstLine="567"/>
        <w:jc w:val="both"/>
      </w:pPr>
      <w:r>
        <w:rPr>
          <w:rFonts w:ascii="Arial" w:cs="Arial" w:eastAsia="Arial" w:hAnsi="Arial"/>
          <w:sz w:val="24"/>
          <w:szCs w:val="24"/>
        </w:rPr>
        <w:t xml:space="preserve">10. К указанию сведений о дате изготовления табачных изделий предъявляются следующие требования:</w:t>
      </w:r>
    </w:p>
    <w:p>
      <w:pPr>
        <w:spacing w:after="60"/>
        <w:ind w:firstLine="567"/>
        <w:jc w:val="both"/>
      </w:pPr>
      <w:r>
        <w:rPr>
          <w:rFonts w:ascii="Arial" w:cs="Arial" w:eastAsia="Arial" w:hAnsi="Arial"/>
          <w:sz w:val="24"/>
          <w:szCs w:val="24"/>
        </w:rPr>
        <w:t xml:space="preserve">1) надпись должна быть четкой и легко читаемой;</w:t>
      </w:r>
    </w:p>
    <w:p>
      <w:pPr>
        <w:spacing w:after="60"/>
        <w:ind w:firstLine="567"/>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60"/>
        <w:ind w:firstLine="567"/>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60"/>
        <w:ind w:firstLine="567"/>
        <w:jc w:val="both"/>
      </w:pPr>
      <w:r>
        <w:rPr>
          <w:rFonts w:ascii="Arial" w:cs="Arial" w:eastAsia="Arial" w:hAnsi="Arial"/>
          <w:sz w:val="24"/>
          <w:szCs w:val="24"/>
        </w:rPr>
        <w:t xml:space="preserve">4) сведения о дате изготовления табачных изделий указываются арабскими цифрами (высота шрифта не менее 3 мм), без пробелов: месяц.год (хх.хххх). Пример: 01.2022.</w:t>
      </w:r>
    </w:p>
    <w:p>
      <w:pPr>
        <w:spacing w:after="120"/>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На табачной и никотинсодержащей продукции, классифицируемой товарной позицией ТН ВЭД 2403 и 2404, маркировка акцизной марки осуществляется путем нанесения на одноразовую потребительскую упаковку, в которую расфасована продукция.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0ivpfk_mrzbxqlteewe3">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w:t>
      </w:r>
      <w:r>
        <w:rPr>
          <w:rFonts w:ascii="Arial" w:cs="Arial" w:eastAsia="Arial" w:hAnsi="Arial"/>
          <w:sz w:val="24"/>
          <w:szCs w:val="24"/>
        </w:rPr>
        <w:t xml:space="preserve">2</w:t>
      </w:r>
      <w:r>
        <w:rPr>
          <w:rFonts w:ascii="Arial" w:cs="Arial" w:eastAsia="Arial" w:hAnsi="Arial"/>
          <w:sz w:val="24"/>
          <w:szCs w:val="24"/>
        </w:rPr>
        <w:t xml:space="preserve">. Сигареты электронные и аналогичные индивидуальные электрические испарительные устройства (электронные системы доставки никотина), классифицируемые товарной позицией ТН ВЭД 8543 40 000 0, маркируются путем нанесения акцизной марки на или под специальную целлофановую упаковку потребительской упаковки способом, не допускающим их отделения без повреждения.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wmblxohukhpcsawz4medz">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3</w:t>
      </w:r>
      <w:r>
        <w:rPr>
          <w:rFonts w:ascii="Arial" w:cs="Arial" w:eastAsia="Arial" w:hAnsi="Arial"/>
          <w:sz w:val="24"/>
          <w:szCs w:val="24"/>
        </w:rPr>
        <w:t xml:space="preserve">. У потребительских упаковок, указанных в пунктах 10-1 и 10-2 настоящего Положения, должна отсутствовать возможность вскрытия упаковки без разрыва акцизной марки. В случае наличия у потребительской упаковки возможности вскрытия через немаркированные крышки данные крышки должны быть запечатаны таким образом, чтобы не допускать вскрытия без повреждения самой потребительской упаковки, за исключением безалкогольных напитков, разлитых в алюминиевую банку и тетрапак.</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jzs44ynl9j5rvag13snf">
        <w:r>
          <w:rPr>
            <w:rFonts w:ascii="Arial" w:cs="Arial" w:eastAsia="Arial" w:hAnsi="Arial"/>
            <w:color w:val="1D4ED8"/>
            <w:sz w:val="24"/>
            <w:szCs w:val="24"/>
            <w:u w:val="single"/>
          </w:rPr>
          <w:t xml:space="preserve">15 марта 2024 года № 118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Продукция, маркированная с отклонением от требований настоящего Положения, рассматривается как немаркированная.</w:t>
      </w:r>
    </w:p>
    <w:p>
      <w:pPr>
        <w:spacing w:after="60"/>
        <w:ind w:firstLine="567"/>
        <w:jc w:val="both"/>
      </w:pPr>
      <w:r>
        <w:rPr>
          <w:rFonts w:ascii="Arial" w:cs="Arial" w:eastAsia="Arial" w:hAnsi="Arial"/>
          <w:sz w:val="24"/>
          <w:szCs w:val="24"/>
        </w:rPr>
        <w:t xml:space="preserve">12. </w:t>
      </w:r>
      <w:r>
        <w:rPr>
          <w:rFonts w:ascii="Arial" w:cs="Arial" w:eastAsia="Arial" w:hAnsi="Arial"/>
          <w:sz w:val="24"/>
          <w:szCs w:val="24"/>
        </w:rPr>
        <w:t xml:space="preserve">Акцизные марки изготавливаются по заказу уполномоченного налогового органа согласно договору (контракту), заключенному с поставщиком в соответствии с законодательством Кыргызской Республики в сфере государственных закупок. Форма и образцы акцизных марок разрабатываются уполномоченным налоговым органом совместно с поставщиком. Форма и образцы акцизных марок утверждаются уполномоченным налоговым органом.</w:t>
      </w:r>
    </w:p>
    <w:p>
      <w:pPr>
        <w:spacing w:after="60"/>
        <w:ind w:firstLine="567"/>
        <w:jc w:val="both"/>
      </w:pPr>
      <w:r>
        <w:rPr>
          <w:rFonts w:ascii="Arial" w:cs="Arial" w:eastAsia="Arial" w:hAnsi="Arial"/>
          <w:sz w:val="24"/>
          <w:szCs w:val="24"/>
        </w:rPr>
        <w:t xml:space="preserve">Акцизные марки выдаются через банковскую систему Кыргызской Республики для применения на территории Кыргызской Республики, а также направляются за рубеж непосредственно на заводы-производители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a5eb5egvnkv0ndr8pkyi">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Акцизные марки, приобретенные для обозначения маркируемой продукции, производимой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маркируемой продукции.</w:t>
      </w:r>
    </w:p>
    <w:p>
      <w:pPr>
        <w:spacing w:after="60"/>
        <w:ind w:firstLine="567"/>
        <w:jc w:val="both"/>
      </w:pPr>
      <w:r>
        <w:rPr>
          <w:rFonts w:ascii="Arial" w:cs="Arial" w:eastAsia="Arial" w:hAnsi="Arial"/>
          <w:sz w:val="24"/>
          <w:szCs w:val="24"/>
        </w:rPr>
        <w:t xml:space="preserve">14. Акцизные марки, приобретенные в уполномоченном банке, для наклейки за рубежом на заводе-производителе маркируемой продукции вывозятся с территории Кыргызской Республики без взимания таможенных платежей под таможенной процедурой временного ввоза (допуска)/вывоза.</w:t>
      </w:r>
    </w:p>
    <w:p>
      <w:pPr>
        <w:spacing w:after="60"/>
        <w:ind w:firstLine="567"/>
        <w:jc w:val="both"/>
      </w:pPr>
      <w:r>
        <w:rPr>
          <w:rFonts w:ascii="Arial" w:cs="Arial" w:eastAsia="Arial" w:hAnsi="Arial"/>
          <w:sz w:val="24"/>
          <w:szCs w:val="24"/>
        </w:rPr>
        <w:t xml:space="preserve">15. Оплата стоимости акцизных марок налогоплательщиком производится путем перечисления денежных средств на специальный блокированный счет в уполномоченном банке.</w:t>
      </w:r>
    </w:p>
    <w:p>
      <w:pPr>
        <w:spacing w:after="120"/>
        <w:jc w:val="both"/>
      </w:pPr>
      <w:r>
        <w:rPr>
          <w:rFonts w:ascii="Arial" w:cs="Arial" w:eastAsia="Arial" w:hAnsi="Arial"/>
          <w:sz w:val="24"/>
          <w:szCs w:val="24"/>
        </w:rPr>
        <w:t xml:space="preserve">16. Уполномоченный налоговый орган согласно выставленным счетам оплачивает стоимость акцизных марок,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18 настоящего Положения, а также на цели, определенные решениями Кабинета Министров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_um4j0cwu48axqxa-uucz">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2. Порядок выдачи акцизных марок</w:t>
      </w:r>
    </w:p>
    <w:p>
      <w:pPr>
        <w:spacing w:after="60"/>
        <w:ind w:firstLine="567"/>
        <w:jc w:val="both"/>
      </w:pPr>
      <w:r>
        <w:rPr>
          <w:rFonts w:ascii="Arial" w:cs="Arial" w:eastAsia="Arial" w:hAnsi="Arial"/>
          <w:sz w:val="24"/>
          <w:szCs w:val="24"/>
        </w:rPr>
        <w:t xml:space="preserve">17. Уполномоченный банк выдает налогоплательщику акцизные марки только после уплаты им номинальной стоимости акцизных марок. При приобретении акцизных марок налогоплательщик, кроме номинальной стоимости акцизной марки, одновременно уплачивает акцизный налог на маркируемую продукцию по установленной законодательством Кыргызской Республики ставке акцизного налога.</w:t>
      </w:r>
    </w:p>
    <w:p>
      <w:pPr>
        <w:spacing w:after="60"/>
        <w:ind w:firstLine="567"/>
        <w:jc w:val="both"/>
      </w:pPr>
      <w:r>
        <w:rPr>
          <w:rFonts w:ascii="Arial" w:cs="Arial" w:eastAsia="Arial" w:hAnsi="Arial"/>
          <w:sz w:val="24"/>
          <w:szCs w:val="24"/>
        </w:rPr>
        <w:t xml:space="preserve">18. Номинальная стоимость акцизной марки определяется уполномоченным налоговым органом. Номинальная стоимость акцизной марки складывается из стоимости изготовления акцизной марки, транспортных расходов, в том числе расходов по доставке акцизных марок от уполномоченного банка до зарубежных заводов-изготовителей,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60"/>
        <w:ind w:firstLine="567"/>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акцизных марок, вычислительной техники, средств связи, оборудования для наклейки акцизных марок и оплату расходов по изготовлению учетно-методических пособий и проведению разъяснительной работы.</w:t>
      </w:r>
    </w:p>
    <w:p>
      <w:pPr>
        <w:spacing w:after="60"/>
        <w:ind w:firstLine="567"/>
        <w:jc w:val="both"/>
      </w:pPr>
      <w:r>
        <w:rPr>
          <w:rFonts w:ascii="Arial" w:cs="Arial" w:eastAsia="Arial" w:hAnsi="Arial"/>
          <w:sz w:val="24"/>
          <w:szCs w:val="24"/>
        </w:rPr>
        <w:t xml:space="preserve">19.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завод-производитель маркируемой продукции. Маркируемая продукция, ввозимая из государств-членов Евразийского экономического союза, подлежит маркировке исключительно на заводе-производителе маркируемой продукции.</w:t>
      </w:r>
    </w:p>
    <w:p>
      <w:pPr>
        <w:spacing w:after="60"/>
        <w:ind w:firstLine="567"/>
        <w:jc w:val="both"/>
      </w:pPr>
      <w:r>
        <w:rPr>
          <w:rFonts w:ascii="Arial" w:cs="Arial" w:eastAsia="Arial" w:hAnsi="Arial"/>
          <w:sz w:val="24"/>
          <w:szCs w:val="24"/>
        </w:rPr>
        <w:t xml:space="preserve">Решение о выдаче акцизных марок уполномоченным банком принимается территориальным налоговым органом при представлении следующих документов:</w:t>
      </w:r>
    </w:p>
    <w:p>
      <w:pPr>
        <w:spacing w:after="60"/>
        <w:ind w:firstLine="567"/>
        <w:jc w:val="both"/>
      </w:pPr>
      <w:r>
        <w:rPr>
          <w:rFonts w:ascii="Arial" w:cs="Arial" w:eastAsia="Arial" w:hAnsi="Arial"/>
          <w:sz w:val="24"/>
          <w:szCs w:val="24"/>
        </w:rPr>
        <w:t xml:space="preserve">- заявление-расчет (в 2 экземплярах согласно </w:t>
      </w:r>
      <w:hyperlink w:history="1" r:id="rId8moxi8spnpdx-rrraojf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К заявлению-расчету налогоплательщика прилагается спецификация подакцизных изделий согласно приложению 2 к настоящему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изделий возвращается налогоплательщику, второй экземпляр остается в органе налоговой службы. Копия заявления-расчета на закупку акцизных марок для алкогольной продукции направляется органом налоговой службы в 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w:t>
      </w:r>
    </w:p>
    <w:p>
      <w:pPr>
        <w:spacing w:after="60"/>
        <w:ind w:firstLine="567"/>
        <w:jc w:val="both"/>
      </w:pPr>
      <w:r>
        <w:rPr>
          <w:rFonts w:ascii="Arial" w:cs="Arial" w:eastAsia="Arial" w:hAnsi="Arial"/>
          <w:sz w:val="24"/>
          <w:szCs w:val="24"/>
        </w:rPr>
        <w:t xml:space="preserve">- копия лицензии на ввоз и/или реализацию подакцизной продукции (для лицензируемых видов подакцизной продукции);</w:t>
      </w:r>
    </w:p>
    <w:p>
      <w:pPr>
        <w:spacing w:after="60"/>
        <w:ind w:firstLine="56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или банковской гарантии и уплату номинальной стоимости акцизных марок на все количество маркируемой продукции. Копия платежного документа или оригинал банковской гарантии остается в органе налоговой службы, оригиналы платежных документов возвращаются налогоплательщику.</w:t>
      </w:r>
    </w:p>
    <w:p>
      <w:pPr>
        <w:spacing w:after="60"/>
        <w:ind w:firstLine="567"/>
        <w:jc w:val="both"/>
      </w:pPr>
      <w:r>
        <w:rPr>
          <w:rFonts w:ascii="Arial" w:cs="Arial" w:eastAsia="Arial" w:hAnsi="Arial"/>
          <w:sz w:val="24"/>
          <w:szCs w:val="24"/>
        </w:rPr>
        <w:t xml:space="preserve">Решение об отправке акцизных марок на зарубежный завод-производитель маркируемой продукции, решение о выдаче акцизных марок на импортируемую маркируемую продукцию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60"/>
        <w:ind w:firstLine="567"/>
        <w:jc w:val="both"/>
      </w:pPr>
      <w:r>
        <w:rPr>
          <w:rFonts w:ascii="Arial" w:cs="Arial" w:eastAsia="Arial" w:hAnsi="Arial"/>
          <w:sz w:val="24"/>
          <w:szCs w:val="24"/>
        </w:rPr>
        <w:t xml:space="preserve">- инвойсы на ввозимую подакцизную продукцию, оригинал и заверенная налогоплательщиком копия договора на поставку маркируемой продукции, единожды при первоначальной подаче заявки по данному договору на период его действия. Копия договора остается в органе налоговой службы, оригинал возвращается налогоплательщику. В случаях поставки маркируемой алкогольной продукции копии инвойсов и договоров органами налоговой службы направляются в 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w:t>
      </w:r>
    </w:p>
    <w:p>
      <w:pPr>
        <w:spacing w:after="60"/>
        <w:ind w:firstLine="567"/>
        <w:jc w:val="both"/>
      </w:pPr>
      <w:r>
        <w:rPr>
          <w:rFonts w:ascii="Arial" w:cs="Arial" w:eastAsia="Arial" w:hAnsi="Arial"/>
          <w:sz w:val="24"/>
          <w:szCs w:val="24"/>
        </w:rPr>
        <w:t xml:space="preserve">- письмо с просьбой направить акцизные марки на завод-производитель маркируемой продукции с подробным указанием его точных реквизитов.</w:t>
      </w:r>
    </w:p>
    <w:p>
      <w:pPr>
        <w:spacing w:after="60"/>
        <w:ind w:firstLine="567"/>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Евразийского экономического союза,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акцизных марок.</w:t>
      </w:r>
    </w:p>
    <w:p>
      <w:pPr>
        <w:spacing w:after="60"/>
        <w:ind w:firstLine="567"/>
        <w:jc w:val="both"/>
      </w:pPr>
      <w:r>
        <w:rPr>
          <w:rFonts w:ascii="Arial" w:cs="Arial" w:eastAsia="Arial" w:hAnsi="Arial"/>
          <w:sz w:val="24"/>
          <w:szCs w:val="24"/>
        </w:rPr>
        <w:t xml:space="preserve">Решение о выдаче акцизных марок на импортируемую маркируемую продукцию уполномоченным банком составляется в 3 экземплярах по форме, утверждаемой уполномоченным налоговым органом. Акцизные марки выдаются уполномоченным банком налогоплательщику согласно порядковым номерам акцизных марок,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 Копия решения о выдаче акцизных марок на импортируемую маркируемую алкогольную продукцию направляется органами налоговой службы в 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w:t>
      </w:r>
    </w:p>
    <w:p>
      <w:pPr>
        <w:spacing w:after="60"/>
        <w:ind w:firstLine="567"/>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акцизных марок с диапазоном номеров, указанных в решении налогового органа.</w:t>
      </w:r>
    </w:p>
    <w:p>
      <w:pPr>
        <w:spacing w:after="60"/>
        <w:ind w:firstLine="567"/>
        <w:jc w:val="both"/>
      </w:pPr>
      <w:r>
        <w:rPr>
          <w:rFonts w:ascii="Arial" w:cs="Arial" w:eastAsia="Arial" w:hAnsi="Arial"/>
          <w:sz w:val="24"/>
          <w:szCs w:val="24"/>
        </w:rPr>
        <w:t xml:space="preserve">Органы налоговой службы осуществляют учет и контроль за исполнением производителями и импортерами обязательств по уплате акцизного налога по ранее предоставленной банковской гарантии.</w:t>
      </w:r>
    </w:p>
    <w:p>
      <w:pPr>
        <w:spacing w:after="60"/>
        <w:ind w:firstLine="567"/>
        <w:jc w:val="both"/>
      </w:pPr>
      <w:r>
        <w:rPr>
          <w:rFonts w:ascii="Arial" w:cs="Arial" w:eastAsia="Arial" w:hAnsi="Arial"/>
          <w:sz w:val="24"/>
          <w:szCs w:val="24"/>
        </w:rPr>
        <w:t xml:space="preserve">Органы налоговой службы ведут учет предоставленных банковских гарантий.</w:t>
      </w:r>
    </w:p>
    <w:p>
      <w:pPr>
        <w:spacing w:after="60"/>
        <w:ind w:firstLine="567"/>
        <w:jc w:val="both"/>
      </w:pPr>
      <w:r>
        <w:rPr>
          <w:rFonts w:ascii="Arial" w:cs="Arial" w:eastAsia="Arial" w:hAnsi="Arial"/>
          <w:sz w:val="24"/>
          <w:szCs w:val="24"/>
        </w:rPr>
        <w:t xml:space="preserve">В случае неуплаты акцизного налога налогоплательщиком в установленные сроки органы налоговой службы обязаны проконтролировать исполнение банковской гарантии.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gscfonmo75pv5en2jzpra">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 </w:t>
      </w:r>
      <w:hyperlink w:history="1" r:id="rId6d73ntd9i-ednxhdxqgoh">
        <w:r>
          <w:rPr>
            <w:rFonts w:ascii="Arial" w:cs="Arial" w:eastAsia="Arial" w:hAnsi="Arial"/>
            <w:i/>
            <w:iCs/>
            <w:color w:val="1D4ED8"/>
            <w:sz w:val="24"/>
            <w:szCs w:val="24"/>
            <w:u w:val="single"/>
          </w:rPr>
          <w:t xml:space="preserve">24 июня 2024 года № 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Решение об отправке акцизных марок на зарубежный завод-производитель маркируемой продукции составляется в 2 экземплярах: первый экземпляр решения органа налоговой службы остается в органе налоговой службы, второй - у налогоплательщика. При этом уполномоченным налоговым органом направляется письмо-заказ компании-изготовителю акцизных марок об отправке соответствующей партии акцизных марок на зарубежный завод-производитель маркируемой продукции.</w:t>
      </w:r>
    </w:p>
    <w:p>
      <w:pPr>
        <w:spacing w:after="60"/>
        <w:ind w:firstLine="567"/>
        <w:jc w:val="both"/>
      </w:pPr>
      <w:r>
        <w:rPr>
          <w:rFonts w:ascii="Arial" w:cs="Arial" w:eastAsia="Arial" w:hAnsi="Arial"/>
          <w:sz w:val="24"/>
          <w:szCs w:val="24"/>
        </w:rPr>
        <w:t xml:space="preserve">При отправке акцизных марок на зарубежный завод-производитель маркируемой продукции датой приобретения акцизных марок является дата принятая уполномоченным налоговым органом решения об отправке акцизных марок на зарубежный завод-производитель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ql-rkyfp5lgufjftqnth">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Для маркировки алкогольной продукции, разлитой в большие емкости, при оформлении заявления на покупку акцизных марок налогоплательщик предоставляет подтверждение об уплате акцизного налога или банковской гарантии и номинальной стоимости акцизных марок. После подтверждения объема продукции органами налоговой службы, подлежащего маркировке, и уплаты номинальной стоимости акцизных марок орган налоговой службы принимает решение о выдаче акцизных марок, с последующим уведомлением уполномоченного государственного органа, осуществляющего государственный контроль в сфере производства и оборота этилового спирта, алкогольной и спиртосодержащей продукции.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t_ujiyeqt46dsrr-l2z69">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 </w:t>
      </w:r>
      <w:hyperlink w:history="1" r:id="rId7-8-hpifjxcnbbfodcm-h">
        <w:r>
          <w:rPr>
            <w:rFonts w:ascii="Arial" w:cs="Arial" w:eastAsia="Arial" w:hAnsi="Arial"/>
            <w:i/>
            <w:iCs/>
            <w:color w:val="1D4ED8"/>
            <w:sz w:val="24"/>
            <w:szCs w:val="24"/>
            <w:u w:val="single"/>
          </w:rPr>
          <w:t xml:space="preserve">24 июня 2024 года № 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Решение о выдаче акцизных марок на импортируемую маркируемую продукцию уполномоченным банком, решение об отправке акцизных марок на зарубежный завод-производитель маркируемой продукции принимаются органом налоговой службы в течение 3 рабочих дней со дня представления налогоплательщиком документов, предусмотренных пунктом 19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iqxl5artbvztiy92si6y">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Если на момент оформления заявления-расчета на приобретение акцизных марок в уполномоченном банке нет акцизных марок необходимого типа или емкости или требуемые акцизные марки не были указаны в заказе на производство акцизных марок, то возможна реализация акцизных марок, находящихся в наличии в уполномоченном банке, с условием уплаты фактической суммы акцизного налога или предоставления банковской гарантии на момент приобретения акцизных марок. Для этого уполномоченный налоговый орган направляет письменное разрешение на обозначение маркируемой продукции имеющимися акцизными марками с указанием типа, емкости и наименования маркируемой продукции налогоплательщику - покупателю акцизных марок, в уполномоченный банк, орган налоговой службы по месту налоговой регистрации налогоплательщика - покупателя акцизных марок, уполномоченные государственные органы в сфере таможенного дела, борьбы с экономическими преступлениями и уполномоченный государственный орган по контролю в сфере производства и оборота этилового спирта, алкогольной и спиртосодержащей продукции.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oixcibmhhhuzfefdehg5e">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 </w:t>
      </w:r>
      <w:hyperlink w:history="1" r:id="rIdvv5fmluegpwsjpax20taj">
        <w:r>
          <w:rPr>
            <w:rFonts w:ascii="Arial" w:cs="Arial" w:eastAsia="Arial" w:hAnsi="Arial"/>
            <w:i/>
            <w:iCs/>
            <w:color w:val="1D4ED8"/>
            <w:sz w:val="24"/>
            <w:szCs w:val="24"/>
            <w:u w:val="single"/>
          </w:rPr>
          <w:t xml:space="preserve">24 июня 2024 года № 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Органы налоговой службы контролируют представление налогоплательщиком, производящим или импортирующим маркируемую продукцию, расчетов и иных документов для исчисления акцизного налога.</w:t>
      </w:r>
    </w:p>
    <w:p>
      <w:pPr>
        <w:spacing w:after="200" w:before="200"/>
        <w:jc w:val="center"/>
      </w:pPr>
      <w:r>
        <w:rPr>
          <w:rFonts w:ascii="Arial" w:cs="Arial" w:eastAsia="Arial" w:hAnsi="Arial"/>
          <w:b/>
          <w:bCs/>
          <w:sz w:val="24"/>
          <w:szCs w:val="24"/>
        </w:rPr>
        <w:t xml:space="preserve">3. Порядок учета и хранения акцизных марок</w:t>
      </w:r>
    </w:p>
    <w:p>
      <w:pPr>
        <w:spacing w:after="60"/>
        <w:ind w:firstLine="567"/>
        <w:jc w:val="both"/>
      </w:pPr>
      <w:r>
        <w:rPr>
          <w:rFonts w:ascii="Arial" w:cs="Arial" w:eastAsia="Arial" w:hAnsi="Arial"/>
          <w:sz w:val="24"/>
          <w:szCs w:val="24"/>
        </w:rPr>
        <w:t xml:space="preserve">25. Акцизные марки являются специальными государственными бланками.</w:t>
      </w:r>
    </w:p>
    <w:p>
      <w:pPr>
        <w:spacing w:after="60"/>
        <w:ind w:firstLine="567"/>
        <w:jc w:val="both"/>
      </w:pPr>
      <w:r>
        <w:rPr>
          <w:rFonts w:ascii="Arial" w:cs="Arial" w:eastAsia="Arial" w:hAnsi="Arial"/>
          <w:sz w:val="24"/>
          <w:szCs w:val="24"/>
        </w:rPr>
        <w:t xml:space="preserve">26. </w:t>
      </w:r>
      <w:r>
        <w:rPr>
          <w:rFonts w:ascii="Arial" w:cs="Arial" w:eastAsia="Arial" w:hAnsi="Arial"/>
          <w:sz w:val="24"/>
          <w:szCs w:val="24"/>
        </w:rPr>
        <w:t xml:space="preserve">Акцизные марки изготавливаются на бумажных листах, имеют соответствующие формы и размеры в зависимости от вида подакцизной продукции, один или несколько защитных элементов, наименование и изображение Государственного герба Кыргызской Республики, порядковый номер, электронно-информационный элемент и серию, определяющую вид продукции и диапазон применяемых емкостей.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ef5rhgvogfijcwdbxes">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В целях обеспечения сохранности акцизных марок налогоплательщик обязан выделить специальное помещение или хранить их в несгораемых ящиках (сейфах).</w:t>
      </w:r>
    </w:p>
    <w:p>
      <w:pPr>
        <w:spacing w:after="60"/>
        <w:ind w:firstLine="567"/>
        <w:jc w:val="both"/>
      </w:pPr>
      <w:r>
        <w:rPr>
          <w:rFonts w:ascii="Arial" w:cs="Arial" w:eastAsia="Arial" w:hAnsi="Arial"/>
          <w:sz w:val="24"/>
          <w:szCs w:val="24"/>
        </w:rPr>
        <w:t xml:space="preserve">28. Акцизные марки приходуются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акцизных марок.</w:t>
      </w:r>
    </w:p>
    <w:p>
      <w:pPr>
        <w:spacing w:after="60"/>
        <w:ind w:firstLine="567"/>
        <w:jc w:val="both"/>
      </w:pPr>
      <w:r>
        <w:rPr>
          <w:rFonts w:ascii="Arial" w:cs="Arial" w:eastAsia="Arial" w:hAnsi="Arial"/>
          <w:sz w:val="24"/>
          <w:szCs w:val="24"/>
        </w:rPr>
        <w:t xml:space="preserve">29. На предприятиях, применяющих акцизные марки, приказом руководителя назначается должностное лицо, ответственное за сохранность акцизных марок. Должностное лицо выдает акцизные марки для обозначения продукции под подпись и ведет учет отгруженной продукции и выданных марок с фиксацией типа, емкости, наименования, номеров акцизных марок и фамилии их получателя.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wojm-cmw7-o3feyfcghj">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Органы налоговой службы обязаны постоянно осуществлять контроль за правильностью списания акцизных марок на предприятиях-производителях (для чего производят при необходимости инвентаризацию наличия акцизных марок), сопоставлять количество списанных акцизных марок с количеством выпущенной и реализованной продукции в бутылках или другой таре алкогольных напитков и пачках табачных изделий.</w:t>
      </w:r>
    </w:p>
    <w:p>
      <w:pPr>
        <w:spacing w:after="200" w:before="200"/>
        <w:jc w:val="center"/>
      </w:pPr>
      <w:r>
        <w:rPr>
          <w:rFonts w:ascii="Arial" w:cs="Arial" w:eastAsia="Arial" w:hAnsi="Arial"/>
          <w:b/>
          <w:bCs/>
          <w:sz w:val="24"/>
          <w:szCs w:val="24"/>
        </w:rPr>
        <w:t xml:space="preserve">4. Возврат неиспользованных и испорченных в процессе наклейки акцизных марок</w:t>
      </w:r>
    </w:p>
    <w:p>
      <w:pPr>
        <w:spacing w:after="60"/>
        <w:ind w:firstLine="567"/>
        <w:jc w:val="both"/>
      </w:pPr>
      <w:r>
        <w:rPr>
          <w:rFonts w:ascii="Arial" w:cs="Arial" w:eastAsia="Arial" w:hAnsi="Arial"/>
          <w:sz w:val="24"/>
          <w:szCs w:val="24"/>
        </w:rPr>
        <w:t xml:space="preserve">31. В случае прекращения производства/импорта маркируемой продукции производитель/импортер обязан вернуть все неиспользованные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неиспользованных акцизных марок производитель/импортер маркируемой продукции обязан в орган налоговой службы по месту получения акцизных марок представить следующие документы:</w:t>
      </w:r>
    </w:p>
    <w:p>
      <w:pPr>
        <w:spacing w:after="60"/>
        <w:ind w:firstLine="567"/>
        <w:jc w:val="both"/>
      </w:pPr>
      <w:r>
        <w:rPr>
          <w:rFonts w:ascii="Arial" w:cs="Arial" w:eastAsia="Arial" w:hAnsi="Arial"/>
          <w:sz w:val="24"/>
          <w:szCs w:val="24"/>
        </w:rPr>
        <w:t xml:space="preserve">- письменное заявление с указанием причин возврата акцизных марок и просьбой разрешить повторно использовать уплаченный акцизный налог при следующей покупке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 экземпляр решения о выдаче акцизных марок.</w:t>
      </w:r>
    </w:p>
    <w:p>
      <w:pPr>
        <w:spacing w:after="60"/>
        <w:ind w:firstLine="56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акцизных марок в уполномоченный банк, которое составляется в 3 экземплярах.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60"/>
        <w:ind w:firstLine="567"/>
        <w:jc w:val="both"/>
      </w:pPr>
      <w:r>
        <w:rPr>
          <w:rFonts w:ascii="Arial" w:cs="Arial" w:eastAsia="Arial" w:hAnsi="Arial"/>
          <w:sz w:val="24"/>
          <w:szCs w:val="24"/>
        </w:rPr>
        <w:t xml:space="preserve">- предложение второе абзаца второго пункта 32 изложить в следующей редакции: "При этом номинальная стоимость акцизных марок возврату не подлежит, а сумма акцизного налога засчитывается как излишне уплаченная, которая может быть использована только в счет уплаты акцизного налога при следующем получении акцизных марок соответствующего вида продукции.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ljvhfodxikx8so1lopue">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Возврат номинальной стоимости неиспользованных акцизных марок, за исключением акцизных марок для импортируемых табачных изделий, производится уполномоченным банком в недельный срок по согласованию с соответствующим органом налоговой службы.</w:t>
      </w:r>
    </w:p>
    <w:p>
      <w:pPr>
        <w:spacing w:after="60"/>
        <w:ind w:firstLine="567"/>
        <w:jc w:val="both"/>
      </w:pPr>
      <w:r>
        <w:rPr>
          <w:rFonts w:ascii="Arial" w:cs="Arial" w:eastAsia="Arial" w:hAnsi="Arial"/>
          <w:sz w:val="24"/>
          <w:szCs w:val="24"/>
        </w:rPr>
        <w:t xml:space="preserve">Неиспользованные акцизные марки для импортируемых табачных изделий принимаются уполномоченным банком только для уничтожения. При этом номинальная стоимость акцизных марок возврату не подлежит, а сумма акцизного налога засчитывается как излишне уплаченная.</w:t>
      </w:r>
    </w:p>
    <w:p>
      <w:pPr>
        <w:spacing w:after="60"/>
        <w:ind w:firstLine="567"/>
        <w:jc w:val="both"/>
      </w:pPr>
      <w:r>
        <w:rPr>
          <w:rFonts w:ascii="Arial" w:cs="Arial" w:eastAsia="Arial" w:hAnsi="Arial"/>
          <w:sz w:val="24"/>
          <w:szCs w:val="24"/>
        </w:rPr>
        <w:t xml:space="preserve">33. В случае порчи акцизных марок в процессе наклейки на заводе-изготовителе маркируемой продукции составляется акт с указанием причин порчи, количества и типов испорченных акцизных марок. Производитель/импортер обязан вернуть испорченные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производитель/импортер обязан представить в орган налоговой службы по месту получения акцизных марок следующие документы:</w:t>
      </w:r>
    </w:p>
    <w:p>
      <w:pPr>
        <w:spacing w:after="60"/>
        <w:ind w:firstLine="567"/>
        <w:jc w:val="both"/>
      </w:pPr>
      <w:r>
        <w:rPr>
          <w:rFonts w:ascii="Arial" w:cs="Arial" w:eastAsia="Arial" w:hAnsi="Arial"/>
          <w:sz w:val="24"/>
          <w:szCs w:val="24"/>
        </w:rPr>
        <w:t xml:space="preserve">- акт о порче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 которое составляется в 3 экземплярах по форме, утверждаемой органом налоговой службы. Первый экземпляр решения о возврате акцизных марок остается в уполномоченном банке, второй - у налогоплательщика, третий - в органе налоговой службы. В случае принятия решения о возврате испорченных акцизных марок на алкогольную продукцию копия данного решения направляется органом налоговой службы в 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w:t>
      </w:r>
    </w:p>
    <w:p>
      <w:pPr>
        <w:spacing w:after="60"/>
        <w:ind w:firstLine="567"/>
        <w:jc w:val="both"/>
      </w:pPr>
      <w:r>
        <w:rPr>
          <w:rFonts w:ascii="Arial" w:cs="Arial" w:eastAsia="Arial" w:hAnsi="Arial"/>
          <w:sz w:val="24"/>
          <w:szCs w:val="24"/>
        </w:rPr>
        <w:t xml:space="preserve">Акцизные марки,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не идентифицируется, не подлежат возврату в уполномоченный банк.</w:t>
      </w:r>
    </w:p>
    <w:p>
      <w:pPr>
        <w:spacing w:after="60"/>
        <w:ind w:firstLine="567"/>
        <w:jc w:val="both"/>
      </w:pPr>
      <w:r>
        <w:rPr>
          <w:rFonts w:ascii="Arial" w:cs="Arial" w:eastAsia="Arial" w:hAnsi="Arial"/>
          <w:sz w:val="24"/>
          <w:szCs w:val="24"/>
        </w:rPr>
        <w:t xml:space="preserve">При порче акцизных марок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Взамен поврежденных марок выдаются новые акцизные марки без повторной уплаты акцизного налога на сумму акцизного налога поврежденных марок при условии оплаты номинальной стоимости акцизных марок.</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6itsaoiapiy-ze5nbkagu">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 </w:t>
      </w:r>
      <w:hyperlink w:history="1" r:id="rId224zmdkrx48hejwhcunuw">
        <w:r>
          <w:rPr>
            <w:rFonts w:ascii="Arial" w:cs="Arial" w:eastAsia="Arial" w:hAnsi="Arial"/>
            <w:i/>
            <w:iCs/>
            <w:color w:val="1D4ED8"/>
            <w:sz w:val="24"/>
            <w:szCs w:val="24"/>
            <w:u w:val="single"/>
          </w:rPr>
          <w:t xml:space="preserve">24 июня 2024 года № 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Акцизные марки, непригодные для обозначения маркируемой продукции, подлежат комиссионному уничтожению уполномоченным банком при участии представителей соответствующего органа налоговой службы и производителя/импортера.</w:t>
      </w:r>
    </w:p>
    <w:p>
      <w:pPr>
        <w:spacing w:after="60"/>
        <w:ind w:firstLine="567"/>
        <w:jc w:val="both"/>
      </w:pPr>
      <w:r>
        <w:rPr>
          <w:rFonts w:ascii="Arial" w:cs="Arial" w:eastAsia="Arial" w:hAnsi="Arial"/>
          <w:sz w:val="24"/>
          <w:szCs w:val="24"/>
        </w:rPr>
        <w:t xml:space="preserve">35. </w:t>
      </w:r>
      <w:r>
        <w:rPr>
          <w:rFonts w:ascii="Arial" w:cs="Arial" w:eastAsia="Arial" w:hAnsi="Arial"/>
          <w:sz w:val="24"/>
          <w:szCs w:val="24"/>
        </w:rPr>
        <w:t xml:space="preserve">После приема уполномоченным банком неиспользованных акцизных марок и/или комиссионного уничтожения акцизных марок, непригодных для обозначения маркируемой продукции,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 которая может быть использована только для получения акцизных марок соответствующего вида продукции.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dmfgdxx8iz19iicf_fga">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В случае порчи или утраты произведенных подакцизных товаров акциз уплачивается в полном размере и/или не подлежит возврату, за исключением случаев, возникших в результате непреодолимой силы. При утрате акцизных марок не подлежит возврату акциз, уплаченный до или в момент приобретения акцизных марок, за исключением случаев, возникших в результате непреодолимой силы. Исчисление акциза по утраченным акцизным маркам,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60"/>
        <w:ind w:firstLine="567"/>
        <w:jc w:val="both"/>
      </w:pPr>
      <w:r>
        <w:rPr>
          <w:rFonts w:ascii="Arial" w:cs="Arial" w:eastAsia="Arial" w:hAnsi="Arial"/>
          <w:sz w:val="24"/>
          <w:szCs w:val="24"/>
        </w:rPr>
        <w:t xml:space="preserve">37. В случае обнаружения производственного брака налогоплательщик составляет акт об обнаружении бракованных акцизных марок в присутствии руководителя, главного бухгалтера и лица, ответственного за сохранность акцизных марок, указывает тип и номера акцизных марок,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уплаченных денежных средств при покупке акцизных марок и фотографии бракованных марок. Органы налоговой службы в недельный срок передают материалы в уполномоченный налоговый орган для последующей передачи компании-изготовителю акцизных марок для изучения. В случае подтверждения компанией-изготовителем наличия брака налогоплательщик вправе получить акцизные марки взамен бракованного количества без уплаты акцизного налога и номинальной стоимости.</w:t>
      </w:r>
    </w:p>
    <w:p>
      <w:pPr>
        <w:spacing w:after="200" w:before="200"/>
        <w:jc w:val="center"/>
      </w:pPr>
      <w:r>
        <w:rPr>
          <w:rFonts w:ascii="Arial" w:cs="Arial" w:eastAsia="Arial" w:hAnsi="Arial"/>
          <w:b/>
          <w:bCs/>
          <w:sz w:val="24"/>
          <w:szCs w:val="24"/>
        </w:rPr>
        <w:t xml:space="preserve">5. Контроль за маркировкой подакцизных товаров</w:t>
      </w:r>
    </w:p>
    <w:p>
      <w:pPr>
        <w:spacing w:after="60"/>
        <w:ind w:firstLine="567"/>
        <w:jc w:val="both"/>
      </w:pPr>
      <w:r>
        <w:rPr>
          <w:rFonts w:ascii="Arial" w:cs="Arial" w:eastAsia="Arial" w:hAnsi="Arial"/>
          <w:sz w:val="24"/>
          <w:szCs w:val="24"/>
        </w:rPr>
        <w:t xml:space="preserve">38. Маркировка маркой акцизного сбора производимой и импортируемой продукции на территории Кыргызской Республики с территории государств-членов ЕАЭС осуществляется под налоговым контролем, с территории третьих стран – под таможенным контролем (в том числе на территории таможенного склада, таможенного терминала и складах временного хранения, включенных в реестр, утверждаемый уполномоченным органом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7xlxfxpg65aw2fnjnmnj2">
        <w:r>
          <w:rPr>
            <w:rFonts w:ascii="Arial" w:cs="Arial" w:eastAsia="Arial" w:hAnsi="Arial"/>
            <w:i/>
            <w:iCs/>
            <w:color w:val="1D4ED8"/>
            <w:sz w:val="24"/>
            <w:szCs w:val="24"/>
            <w:u w:val="single"/>
          </w:rPr>
          <w:t xml:space="preserve">17 февраля 2023 года № 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Контроль за наличием и подлинностью акцизных марок на маркируемой продукции, находящейся в торговой сети (розничной и оптовой), осуществляется органами налоговой службы.</w:t>
      </w:r>
    </w:p>
    <w:p>
      <w:pPr>
        <w:spacing w:after="60"/>
        <w:ind w:firstLine="567"/>
        <w:jc w:val="both"/>
      </w:pPr>
      <w:r>
        <w:rPr>
          <w:rFonts w:ascii="Arial" w:cs="Arial" w:eastAsia="Arial" w:hAnsi="Arial"/>
          <w:sz w:val="24"/>
          <w:szCs w:val="24"/>
        </w:rPr>
        <w:t xml:space="preserve">40. Организации, индивидуальные предприниматели и физические лица, производящие, импортирующие либо реализующие немаркированную подакцизную продукцию на территории Кыргызской Республики, несут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41. Уполномоченный налоговый орган ежемесячно к 10 числу отчетного месяца направляет в уполномоченный государственный орган в сфере таможенного дела и 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 сведения о выданных марках акцизного сбора на импортируемую алкогольную и табачную продукцию, а также сведения о минимальной розничной цене на импортируемые табачные изделия.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b5zroxhunnsbna1qefse">
        <w:r>
          <w:rPr>
            <w:rFonts w:ascii="Arial" w:cs="Arial" w:eastAsia="Arial" w:hAnsi="Arial"/>
            <w:i/>
            <w:iCs/>
            <w:color w:val="1D4ED8"/>
            <w:sz w:val="24"/>
            <w:szCs w:val="24"/>
            <w:u w:val="single"/>
          </w:rPr>
          <w:t xml:space="preserve">4 декабря 2023 года № 632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Уполномоченный государственный орган в сфере таможенного дела ежемесячно к 10 числу отчетного месяца представляет в уполномоченный налоговый орган и 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 сведения об экспорте-импорте подакцизных товаров.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scn8oxvxqlsufpjtp3r_">
        <w:r>
          <w:rPr>
            <w:rFonts w:ascii="Arial" w:cs="Arial" w:eastAsia="Arial" w:hAnsi="Arial"/>
            <w:i/>
            <w:iCs/>
            <w:color w:val="1D4ED8"/>
            <w:sz w:val="24"/>
            <w:szCs w:val="24"/>
            <w:u w:val="single"/>
          </w:rPr>
          <w:t xml:space="preserve">4 декабря 2023 года № 632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выдачи и применения марок акцизного сбора в Кыргызской Республике</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______________________________________________________
 </w:t>
      </w:r>
      <w:r>
        <w:rPr>
          <w:rFonts w:ascii="Arial" w:cs="Arial" w:eastAsia="Arial" w:hAnsi="Arial"/>
          <w:sz w:val="24"/>
          <w:szCs w:val="24"/>
        </w:rPr>
        <w:t xml:space="preserve">(Наименование органа налоговой службы)</w:t>
      </w:r>
    </w:p>
    <w:p>
      <w:pPr>
        <w:spacing w:after="200" w:before="120"/>
        <w:jc w:val="center"/>
      </w:pPr>
      <w:r>
        <w:rPr>
          <w:rFonts w:ascii="Arial" w:cs="Arial" w:eastAsia="Arial" w:hAnsi="Arial"/>
          <w:b/>
          <w:bCs/>
          <w:sz w:val="24"/>
          <w:szCs w:val="24"/>
        </w:rPr>
        <w:t xml:space="preserve">ЗАЯВЛЕНИЕ-РАСЧЕТ
 на покупку акцизных марок
 № ______ от "___" _______________ 20___ года
 </w:t>
      </w:r>
      <w:r>
        <w:rPr>
          <w:rFonts w:ascii="Arial" w:cs="Arial" w:eastAsia="Arial" w:hAnsi="Arial"/>
          <w:sz w:val="24"/>
          <w:szCs w:val="24"/>
        </w:rPr>
        <w:t xml:space="preserve">(заполняется налоговым органом)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8"/>
        <w:gridCol w:w="6740"/>
      </w:tblGrid>
      <w:tr>
        <w:tc>
          <w:tcPr>
            <w:tcW w:type="dxa" w:w="34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67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6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6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1012"/>
        <w:gridCol w:w="537"/>
        <w:gridCol w:w="698"/>
        <w:gridCol w:w="698"/>
        <w:gridCol w:w="1181"/>
        <w:gridCol w:w="993"/>
        <w:gridCol w:w="1437"/>
        <w:gridCol w:w="1437"/>
        <w:gridCol w:w="804"/>
        <w:gridCol w:w="1040"/>
      </w:tblGrid>
      <w:tr>
        <w:tc>
          <w:tcPr>
            <w:tcW w:type="dxa" w:w="3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подакцизной маркируемой продукции</w:t>
            </w:r>
          </w:p>
        </w:tc>
        <w:tc>
          <w:tcPr>
            <w:tcW w:type="dxa" w:w="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марок</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(на марке)</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тары</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приобретаемых акцизных марок</w:t>
            </w:r>
          </w:p>
        </w:tc>
        <w:tc>
          <w:tcPr>
            <w:tcW w:type="dxa" w:w="9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Облагаемый объем</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спирта этилового/крепость (для алкогольных изделий)</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акцизного налога исходя из содержания спирта этилового/крепости (для алкогольных изделий) (сом)</w:t>
            </w:r>
          </w:p>
        </w:tc>
        <w:tc>
          <w:tcPr>
            <w:tcW w:type="dxa" w:w="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акцизного налога (сом)</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акцизных марок (сом)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Акцизный налог уплачен на счет № _________________________ согласно платежному документу № _______ от "___" _______________ 20___ года
 в сумме _____________________________________________________________ сомов.
                                                  (прописью)</w:t>
      </w:r>
    </w:p>
    <w:p>
      <w:pPr>
        <w:spacing w:after="60"/>
        <w:jc w:val="both"/>
      </w:pPr>
      <w:r>
        <w:rPr>
          <w:rFonts w:ascii="Arial" w:cs="Arial" w:eastAsia="Arial" w:hAnsi="Arial"/>
          <w:sz w:val="24"/>
          <w:szCs w:val="24"/>
        </w:rPr>
        <w:t xml:space="preserve">Номинальная стоимость марок уплачена на счет № ________________ согласно платежному документу № _____ от "___" ______________ 20__ года
 в сумме ____________________________________________________________ сомов.
                                                             (прописью)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_______________________________________</w:t>
      </w:r>
    </w:p>
    <w:p>
      <w:pPr>
        <w:spacing w:after="120"/>
        <w:jc w:val="right"/>
      </w:pP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_______________________________________</w:t>
      </w:r>
    </w:p>
    <w:p>
      <w:pPr>
        <w:spacing w:after="120"/>
        <w:jc w:val="right"/>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Типы марок: А - водка; С - коньяк; L - ликеро-водочные изделия; V - вино; S - шампанское; Е - сигареты с фильтром; F- сигареты без фильтра.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выдачи и применения марок акцизного сбора в Кыргызской Республике</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_________________________________________________________
 </w:t>
      </w:r>
      <w:r>
        <w:rPr>
          <w:rFonts w:ascii="Arial" w:cs="Arial" w:eastAsia="Arial" w:hAnsi="Arial"/>
          <w:sz w:val="24"/>
          <w:szCs w:val="24"/>
        </w:rPr>
        <w:t xml:space="preserve">(Наименование органа налоговой службы)</w:t>
      </w:r>
    </w:p>
    <w:p>
      <w:pPr>
        <w:spacing w:after="200" w:before="200"/>
        <w:jc w:val="center"/>
      </w:pPr>
      <w:r>
        <w:rPr>
          <w:rFonts w:ascii="Arial" w:cs="Arial" w:eastAsia="Arial" w:hAnsi="Arial"/>
          <w:b/>
          <w:bCs/>
          <w:sz w:val="32"/>
          <w:szCs w:val="32"/>
        </w:rPr>
        <w:t xml:space="preserve">СПЕЦИФИКАЦИЯ
 подакцизных изделий к заявлению-расчету на покупку акцизных марок
 № _________ от "___" ________________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8"/>
        <w:gridCol w:w="6740"/>
      </w:tblGrid>
      <w:tr>
        <w:tc>
          <w:tcPr>
            <w:tcW w:type="dxa" w:w="34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67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6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6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2456"/>
        <w:gridCol w:w="2456"/>
        <w:gridCol w:w="2456"/>
        <w:gridCol w:w="2456"/>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подакцизной продукции</w:t>
            </w:r>
          </w:p>
        </w:tc>
        <w:tc>
          <w:tcPr>
            <w:tcW w:type="dxa" w:w="24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(наименование) подакцизной продукции</w:t>
            </w:r>
          </w:p>
        </w:tc>
        <w:tc>
          <w:tcPr>
            <w:tcW w:type="dxa" w:w="24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тары. Вид табачных изделий</w:t>
            </w:r>
          </w:p>
        </w:tc>
        <w:tc>
          <w:tcPr>
            <w:tcW w:type="dxa" w:w="24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приобретаемых акцизных марок</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hv20zxiipy47cwhc7to">
      <w:r>
        <w:rPr>
          <w:rFonts w:ascii="Arial" w:cs="Arial" w:eastAsia="Arial" w:hAnsi="Arial"/>
          <w:color w:val="132D3F"/>
          <w:sz w:val="16"/>
          <w:szCs w:val="16"/>
          <w:u w:val="single"/>
        </w:rPr>
        <w:t xml:space="preserve">dalil.kg/document/430908</w:t>
      </w:r>
    </w:hyperlink>
  </w:p>
  <w:p>
    <w:pPr>
      <w:spacing w:after="0" w:before="40"/>
      <w:jc w:val="center"/>
    </w:pPr>
    <w:hyperlink w:history="1" r:id="rId4xzeavn1h0khhfu7mlot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g7mluoa9a4kd7kpkfb1" Type="http://schemas.openxmlformats.org/officeDocument/2006/relationships/hyperlink" Target="https://dalil.kg/document/159962" TargetMode="External"/><Relationship Id="rIdotz6soedzxjazjo6v-bnr" Type="http://schemas.openxmlformats.org/officeDocument/2006/relationships/hyperlink" Target="https://dalil.kg/document/160417" TargetMode="External"/><Relationship Id="rIdgii0wtir78r4viy5gwthy" Type="http://schemas.openxmlformats.org/officeDocument/2006/relationships/hyperlink" Target="https://dalil.kg/document/230003719" TargetMode="External"/><Relationship Id="rIdtcd6lde3xyz9pks_bkjyz" Type="http://schemas.openxmlformats.org/officeDocument/2006/relationships/hyperlink" Target="https://dalil.kg/document/230003746" TargetMode="External"/><Relationship Id="rIdj7huvf5fbfakdbku8hynn" Type="http://schemas.openxmlformats.org/officeDocument/2006/relationships/hyperlink" Target="https://dalil.kg/document/230005237" TargetMode="External"/><Relationship Id="rIdlvngtj7lyiflpcz0yxx6o" Type="http://schemas.openxmlformats.org/officeDocument/2006/relationships/hyperlink" Target="https://dalil.kg/document/230009431" TargetMode="External"/><Relationship Id="rIdqlbf3oboc_nqghkitb7de" Type="http://schemas.openxmlformats.org/officeDocument/2006/relationships/hyperlink" Target="https://dalil.kg/document/230013025" TargetMode="External"/><Relationship Id="rIdojzotufrpf1gcxbqysuzk" Type="http://schemas.openxmlformats.org/officeDocument/2006/relationships/hyperlink" Target="https://dalil.kg/document/230037949" TargetMode="External"/><Relationship Id="rIdniszl-q-6v6chiiidxlds" Type="http://schemas.openxmlformats.org/officeDocument/2006/relationships/hyperlink" Target="https://dalil.kg/document/112340" TargetMode="External"/><Relationship Id="rIdxqn3cioxdsqznhyf-mn9q" Type="http://schemas.openxmlformats.org/officeDocument/2006/relationships/hyperlink" Target="https://dalil.kg/document/1587" TargetMode="External"/><Relationship Id="rIdmqzwgio9vlhs0dswo4lk5" Type="http://schemas.openxmlformats.org/officeDocument/2006/relationships/hyperlink" Target="https://dalil.kg/document/160417" TargetMode="External"/><Relationship Id="rIdvt4hwuvfcc41ux3w4rhyi" Type="http://schemas.openxmlformats.org/officeDocument/2006/relationships/hyperlink" Target="https://dalil.kg/document/230003719" TargetMode="External"/><Relationship Id="rIdkci94qn3ip5s1dqofu_eo" Type="http://schemas.openxmlformats.org/officeDocument/2006/relationships/hyperlink" Target="https://dalil.kg/document/230005237" TargetMode="External"/><Relationship Id="rIdjikt4cosuwlxkcxdprczz" Type="http://schemas.openxmlformats.org/officeDocument/2006/relationships/hyperlink" Target="https://dalil.kg/document/230013025" TargetMode="External"/><Relationship Id="rIdnmkekeccsnmalwnn5h9y5" Type="http://schemas.openxmlformats.org/officeDocument/2006/relationships/hyperlink" Target="https://dalil.kg/document/230037949" TargetMode="External"/><Relationship Id="rId7izldmj29-2pctmrsormr" Type="http://schemas.openxmlformats.org/officeDocument/2006/relationships/hyperlink" Target="https://dalil.kg/document/230037949" TargetMode="External"/><Relationship Id="rIdco6mkdgfnypvvy3h6vuwu" Type="http://schemas.openxmlformats.org/officeDocument/2006/relationships/hyperlink" Target="https://dalil.kg/document/160417" TargetMode="External"/><Relationship Id="rIdlmuje87jaqtbvzg7tscar" Type="http://schemas.openxmlformats.org/officeDocument/2006/relationships/hyperlink" Target="https://dalil.kg/document/230003746" TargetMode="External"/><Relationship Id="rIdh38vgghso59_i6num12d6" Type="http://schemas.openxmlformats.org/officeDocument/2006/relationships/hyperlink" Target="https://dalil.kg/document/230003746" TargetMode="External"/><Relationship Id="rIdwaddcncp_iey-mzjxkinp" Type="http://schemas.openxmlformats.org/officeDocument/2006/relationships/hyperlink" Target="https://dalil.kg/document/160417" TargetMode="External"/><Relationship Id="rIdl0ivpfk_mrzbxqlteewe3" Type="http://schemas.openxmlformats.org/officeDocument/2006/relationships/hyperlink" Target="https://dalil.kg/document/160417" TargetMode="External"/><Relationship Id="rIdwmblxohukhpcsawz4medz" Type="http://schemas.openxmlformats.org/officeDocument/2006/relationships/hyperlink" Target="https://dalil.kg/document/160417" TargetMode="External"/><Relationship Id="rIdjjzs44ynl9j5rvag13snf" Type="http://schemas.openxmlformats.org/officeDocument/2006/relationships/hyperlink" Target="https://dalil.kg/document/230003746" TargetMode="External"/><Relationship Id="rIdwa5eb5egvnkv0ndr8pkyi" Type="http://schemas.openxmlformats.org/officeDocument/2006/relationships/hyperlink" Target="https://dalil.kg/document/230003746" TargetMode="External"/><Relationship Id="rId_um4j0cwu48axqxa-uucz" Type="http://schemas.openxmlformats.org/officeDocument/2006/relationships/hyperlink" Target="https://dalil.kg/document/160417" TargetMode="External"/><Relationship Id="rId8moxi8spnpdx-rrraojff" Type="http://schemas.openxmlformats.org/officeDocument/2006/relationships/hyperlink" Target="https://dalil.kg/document/430908#pr1" TargetMode="External"/><Relationship Id="rIdgscfonmo75pv5en2jzpra" Type="http://schemas.openxmlformats.org/officeDocument/2006/relationships/hyperlink" Target="https://dalil.kg/document/230003746" TargetMode="External"/><Relationship Id="rId6d73ntd9i-ednxhdxqgoh" Type="http://schemas.openxmlformats.org/officeDocument/2006/relationships/hyperlink" Target="https://dalil.kg/document/230009431" TargetMode="External"/><Relationship Id="rIduql-rkyfp5lgufjftqnth" Type="http://schemas.openxmlformats.org/officeDocument/2006/relationships/hyperlink" Target="https://dalil.kg/document/230003746" TargetMode="External"/><Relationship Id="rIdt_ujiyeqt46dsrr-l2z69" Type="http://schemas.openxmlformats.org/officeDocument/2006/relationships/hyperlink" Target="https://dalil.kg/document/230003746" TargetMode="External"/><Relationship Id="rId7-8-hpifjxcnbbfodcm-h" Type="http://schemas.openxmlformats.org/officeDocument/2006/relationships/hyperlink" Target="https://dalil.kg/document/230009431" TargetMode="External"/><Relationship Id="rIdhiqxl5artbvztiy92si6y" Type="http://schemas.openxmlformats.org/officeDocument/2006/relationships/hyperlink" Target="https://dalil.kg/document/230003746" TargetMode="External"/><Relationship Id="rIdoixcibmhhhuzfefdehg5e" Type="http://schemas.openxmlformats.org/officeDocument/2006/relationships/hyperlink" Target="https://dalil.kg/document/230003746" TargetMode="External"/><Relationship Id="rIdvv5fmluegpwsjpax20taj" Type="http://schemas.openxmlformats.org/officeDocument/2006/relationships/hyperlink" Target="https://dalil.kg/document/230009431" TargetMode="External"/><Relationship Id="rIdb-ef5rhgvogfijcwdbxes" Type="http://schemas.openxmlformats.org/officeDocument/2006/relationships/hyperlink" Target="https://dalil.kg/document/230003746" TargetMode="External"/><Relationship Id="rIdjwojm-cmw7-o3feyfcghj" Type="http://schemas.openxmlformats.org/officeDocument/2006/relationships/hyperlink" Target="https://dalil.kg/document/230003746" TargetMode="External"/><Relationship Id="rId7ljvhfodxikx8so1lopue" Type="http://schemas.openxmlformats.org/officeDocument/2006/relationships/hyperlink" Target="https://dalil.kg/document/230003746" TargetMode="External"/><Relationship Id="rId6itsaoiapiy-ze5nbkagu" Type="http://schemas.openxmlformats.org/officeDocument/2006/relationships/hyperlink" Target="https://dalil.kg/document/230003746" TargetMode="External"/><Relationship Id="rId224zmdkrx48hejwhcunuw" Type="http://schemas.openxmlformats.org/officeDocument/2006/relationships/hyperlink" Target="https://dalil.kg/document/230009431" TargetMode="External"/><Relationship Id="rIdedmfgdxx8iz19iicf_fga" Type="http://schemas.openxmlformats.org/officeDocument/2006/relationships/hyperlink" Target="https://dalil.kg/document/230003746" TargetMode="External"/><Relationship Id="rId7xlxfxpg65aw2fnjnmnj2" Type="http://schemas.openxmlformats.org/officeDocument/2006/relationships/hyperlink" Target="https://dalil.kg/document/159962" TargetMode="External"/><Relationship Id="rIdjb5zroxhunnsbna1qefse" Type="http://schemas.openxmlformats.org/officeDocument/2006/relationships/hyperlink" Target="https://dalil.kg/document/230003719" TargetMode="External"/><Relationship Id="rIdjscn8oxvxqlsufpjtp3r_" Type="http://schemas.openxmlformats.org/officeDocument/2006/relationships/hyperlink" Target="https://dalil.kg/document/230003719"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hv20zxiipy47cwhc7to" Type="http://schemas.openxmlformats.org/officeDocument/2006/relationships/hyperlink" Target="https://dalil.kg/document/430908" TargetMode="External"/><Relationship Id="rId4xzeavn1h0khhfu7mlot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2026-09-24T11:24:26.040Z</dcterms:created>
  <dcterms:modified xsi:type="dcterms:W3CDTF">2026-09-24T11:24:26.040Z</dcterms:modified>
</cp:coreProperties>
</file>

<file path=docProps/custom.xml><?xml version="1.0" encoding="utf-8"?>
<Properties xmlns="http://schemas.openxmlformats.org/officeDocument/2006/custom-properties" xmlns:vt="http://schemas.openxmlformats.org/officeDocument/2006/docPropsVTypes"/>
</file>