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20 мая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УП № </w:t>
      </w:r>
      <w:r>
        <w:rPr>
          <w:rFonts w:ascii="Arial" w:cs="Arial" w:eastAsia="Arial" w:hAnsi="Arial"/>
          <w:sz w:val="24"/>
          <w:szCs w:val="24"/>
        </w:rPr>
        <w:t xml:space="preserve">143</w:t>
      </w:r>
    </w:p>
    <w:p>
      <w:pPr>
        <w:spacing w:after="400" w:before="400"/>
        <w:jc w:val="center"/>
      </w:pPr>
      <w:r>
        <w:rPr>
          <w:rFonts w:ascii="Arial" w:cs="Arial" w:eastAsia="Arial" w:hAnsi="Arial"/>
          <w:b/>
          <w:bCs/>
          <w:sz w:val="32"/>
          <w:szCs w:val="32"/>
        </w:rPr>
        <w:t xml:space="preserve">О создании общественной комиссии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w:t>
      </w:r>
    </w:p>
    <w:p>
      <w:pPr>
        <w:spacing w:after="60"/>
        <w:ind w:firstLine="567"/>
        <w:jc w:val="both"/>
      </w:pPr>
      <w:r>
        <w:rPr>
          <w:rFonts w:ascii="Arial" w:cs="Arial" w:eastAsia="Arial" w:hAnsi="Arial"/>
          <w:sz w:val="24"/>
          <w:szCs w:val="24"/>
        </w:rPr>
        <w:t xml:space="preserve">Ранним утром 16 января 2017 года на село Дача-Су Сокулукского района Чуйской области упал грузовой самолет Боинг-747. В результате крушения погибли 35 жителей села - граждан Кыргызской Республики и 4 члена экипажа - граждане Турецкой Республики. По официальной версии, самолет, летевший в город Стамбул (Турция), направлялся в аэропорт "Манас" для дозаправки топливом.</w:t>
      </w:r>
    </w:p>
    <w:p>
      <w:pPr>
        <w:spacing w:after="60"/>
        <w:ind w:firstLine="567"/>
        <w:jc w:val="both"/>
      </w:pPr>
      <w:r>
        <w:rPr>
          <w:rFonts w:ascii="Arial" w:cs="Arial" w:eastAsia="Arial" w:hAnsi="Arial"/>
          <w:sz w:val="24"/>
          <w:szCs w:val="24"/>
        </w:rPr>
        <w:t xml:space="preserve">Комиссия по расследованию авиационных происшествий Межгосударственного авиационного комитета (МАК) опубликовала окончательный отчет по результатам расследования авиационной катастрофы в Дача-Су спустя три года - в феврале 2020 года. Главной причиной трагедии была названа ошибка пилотов.</w:t>
      </w:r>
    </w:p>
    <w:p>
      <w:pPr>
        <w:spacing w:after="60"/>
        <w:ind w:firstLine="567"/>
        <w:jc w:val="both"/>
      </w:pPr>
      <w:r>
        <w:rPr>
          <w:rFonts w:ascii="Arial" w:cs="Arial" w:eastAsia="Arial" w:hAnsi="Arial"/>
          <w:sz w:val="24"/>
          <w:szCs w:val="24"/>
        </w:rPr>
        <w:t xml:space="preserve">Между тем спустя пять лет после трагедии в Дача-Су в обществе все еще остаются вопросы о том, кто на самом деле виноват в крушении самолета, кому принадлежал груз и как распределялись деньги, собранные в помощь пострадавшим.</w:t>
      </w:r>
    </w:p>
    <w:p>
      <w:pPr>
        <w:spacing w:after="60"/>
        <w:ind w:firstLine="567"/>
        <w:jc w:val="both"/>
      </w:pPr>
      <w:r>
        <w:rPr>
          <w:rFonts w:ascii="Arial" w:cs="Arial" w:eastAsia="Arial" w:hAnsi="Arial"/>
          <w:sz w:val="24"/>
          <w:szCs w:val="24"/>
        </w:rPr>
        <w:t xml:space="preserve">В целях проведения независимого и всестороннего изучения причин и условий авиационной катастрофы, подготовки предложений для комплексного решения проблем жителей села Дача-Су, руководствуясь </w:t>
      </w:r>
      <w:hyperlink w:history="1" r:id="rIddw1vsqmmuxkqmjhpgrvz5">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Образовать общественную комиссию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 (далее - общественная комиссия) в составе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Предложить общественной комиссии:</w:t>
      </w:r>
    </w:p>
    <w:p>
      <w:pPr>
        <w:spacing w:after="60"/>
        <w:ind w:firstLine="567"/>
        <w:jc w:val="both"/>
      </w:pPr>
      <w:r>
        <w:rPr>
          <w:rFonts w:ascii="Arial" w:cs="Arial" w:eastAsia="Arial" w:hAnsi="Arial"/>
          <w:sz w:val="24"/>
          <w:szCs w:val="24"/>
        </w:rPr>
        <w:t xml:space="preserve">- разработать и утвердить регламент работы общественной комиссии;</w:t>
      </w:r>
    </w:p>
    <w:p>
      <w:pPr>
        <w:spacing w:after="60"/>
        <w:ind w:firstLine="567"/>
        <w:jc w:val="both"/>
      </w:pPr>
      <w:r>
        <w:rPr>
          <w:rFonts w:ascii="Arial" w:cs="Arial" w:eastAsia="Arial" w:hAnsi="Arial"/>
          <w:sz w:val="24"/>
          <w:szCs w:val="24"/>
        </w:rPr>
        <w:t xml:space="preserve">- периодически информировать средства массовой информации о своей работе.</w:t>
      </w:r>
    </w:p>
    <w:p>
      <w:pPr>
        <w:spacing w:after="60"/>
        <w:ind w:firstLine="567"/>
        <w:jc w:val="both"/>
      </w:pPr>
      <w:r>
        <w:rPr>
          <w:rFonts w:ascii="Arial" w:cs="Arial" w:eastAsia="Arial" w:hAnsi="Arial"/>
          <w:sz w:val="24"/>
          <w:szCs w:val="24"/>
        </w:rPr>
        <w:t xml:space="preserve">3. Организационное, методическое и иное обеспечение деятельности общественной комиссии возложить на Министерство транспорта и коммуникаций Кыргызской Республики, Ситуационный центр Администрации Президента Кыргызской Республики.</w:t>
      </w:r>
    </w:p>
    <w:p>
      <w:pPr>
        <w:spacing w:after="60"/>
        <w:ind w:firstLine="567"/>
        <w:jc w:val="both"/>
      </w:pPr>
      <w:r>
        <w:rPr>
          <w:rFonts w:ascii="Arial" w:cs="Arial" w:eastAsia="Arial" w:hAnsi="Arial"/>
          <w:sz w:val="24"/>
          <w:szCs w:val="24"/>
        </w:rPr>
        <w:t xml:space="preserve">4. Администрации Президента Кыргызской Республики, Управлению делами Президента Кыргызской Республики, Генеральной прокуратуре Кыргызской Республики, Государственному комитету национальной безопасности Кыргызской Республики, Министерству внутренних дел Кыргызской Республики, министерствам, административным ведомствам, государственной администрации Сокулукского района и полномочному представителю Президента Кыргызской Республики в Чуйской области Кыргызской Республики оказывать всемерное содействие при реализации общественной комиссией пункта 1 настоящего Указа, по запросу общественной комиссии предоставлять в оперативном порядке все необходимые материалы и документы для ее работы.</w:t>
      </w:r>
    </w:p>
    <w:p>
      <w:pPr>
        <w:spacing w:after="60"/>
        <w:ind w:firstLine="567"/>
        <w:jc w:val="both"/>
      </w:pPr>
      <w:r>
        <w:rPr>
          <w:rFonts w:ascii="Arial" w:cs="Arial" w:eastAsia="Arial" w:hAnsi="Arial"/>
          <w:sz w:val="24"/>
          <w:szCs w:val="24"/>
        </w:rPr>
        <w:t xml:space="preserve">5. Установить, что общественная комиссия имеет право при необходимости привлекать специалистов министерств, государственного комитета, административных ведомств, других государственных органов, независимых экспертов и граждан для решения вопросов, возникающих в процессе работы.</w:t>
      </w:r>
    </w:p>
    <w:p>
      <w:pPr>
        <w:spacing w:after="60"/>
        <w:ind w:firstLine="567"/>
        <w:jc w:val="both"/>
      </w:pPr>
      <w:r>
        <w:rPr>
          <w:rFonts w:ascii="Arial" w:cs="Arial" w:eastAsia="Arial" w:hAnsi="Arial"/>
          <w:sz w:val="24"/>
          <w:szCs w:val="24"/>
        </w:rPr>
        <w:t xml:space="preserve">6. Общественной комиссии в срок до 1 ноября 2022 года представить заключение об обстоятельствах, причинах и условиях, приведших к авиационной катастрофе, и предложения по комплексному решению проблем жителей села Дача-Су.</w:t>
      </w:r>
    </w:p>
    <w:p>
      <w:pPr>
        <w:spacing w:after="60"/>
        <w:ind w:firstLine="567"/>
        <w:jc w:val="both"/>
      </w:pPr>
      <w:r>
        <w:rPr>
          <w:rFonts w:ascii="Arial" w:cs="Arial" w:eastAsia="Arial" w:hAnsi="Arial"/>
          <w:sz w:val="24"/>
          <w:szCs w:val="24"/>
        </w:rPr>
        <w:t xml:space="preserve">7.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8. Настоящий Указ вступает в силу со дня официального опубликования.</w:t>
      </w:r>
    </w:p>
    <w:p>
      <w:pPr>
        <w:spacing w:after="60"/>
        <w:ind w:firstLine="567"/>
        <w:jc w:val="both"/>
      </w:pPr>
      <w:r>
        <w:rPr>
          <w:rFonts w:ascii="Arial" w:cs="Arial" w:eastAsia="Arial" w:hAnsi="Arial"/>
          <w:sz w:val="24"/>
          <w:szCs w:val="24"/>
        </w:rPr>
        <w:t xml:space="preserve">Опубликован в газете "Эркин Тоо" от 13 мая 2022 года № 42-43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Н.</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СОСТАВ</w:t>
      </w:r>
      <w:r>
        <w:rPr>
          <w:rFonts w:ascii="Arial" w:cs="Arial" w:eastAsia="Arial" w:hAnsi="Arial"/>
          <w:b/>
          <w:bCs/>
          <w:sz w:val="24"/>
          <w:szCs w:val="24"/>
        </w:rPr>
        <w:t xml:space="preserve">
 общественной комиссии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w:t>
      </w:r>
    </w:p>
    <w:p>
      <w:pPr>
        <w:tabs>
          <w:tab w:val="right" w:pos="10178"/>
        </w:tabs>
        <w:spacing w:after="120"/>
      </w:pPr>
      <w:r>
        <w:rPr>
          <w:rFonts w:ascii="Arial" w:cs="Arial" w:eastAsia="Arial" w:hAnsi="Arial"/>
          <w:sz w:val="24"/>
          <w:szCs w:val="24"/>
        </w:rPr>
        <w:t xml:space="preserve">Шыкмаматов Алмамбет Насырканович</w:t>
      </w:r>
      <w:r>
        <w:rPr>
          <w:rFonts w:ascii="Arial" w:cs="Arial" w:eastAsia="Arial" w:hAnsi="Arial"/>
          <w:sz w:val="24"/>
          <w:szCs w:val="24"/>
        </w:rPr>
        <w:t xml:space="preserve">	</w:t>
      </w:r>
      <w:r>
        <w:rPr>
          <w:rFonts w:ascii="Arial" w:cs="Arial" w:eastAsia="Arial" w:hAnsi="Arial"/>
          <w:sz w:val="24"/>
          <w:szCs w:val="24"/>
        </w:rPr>
        <w:t xml:space="preserve">общественный деятель, председатель общественной комиссии (по согласованию);</w:t>
      </w:r>
    </w:p>
    <w:p>
      <w:pPr>
        <w:tabs>
          <w:tab w:val="right" w:pos="10178"/>
        </w:tabs>
        <w:spacing w:after="120"/>
      </w:pPr>
      <w:r>
        <w:rPr>
          <w:rFonts w:ascii="Arial" w:cs="Arial" w:eastAsia="Arial" w:hAnsi="Arial"/>
          <w:sz w:val="24"/>
          <w:szCs w:val="24"/>
        </w:rPr>
        <w:t xml:space="preserve">Абдирасулова Гульшайыр Жанызаковна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Алимова Дилбар Ташбаевна</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Алимов Бекзат Шералиевич</w:t>
      </w:r>
      <w:r>
        <w:rPr>
          <w:rFonts w:ascii="Arial" w:cs="Arial" w:eastAsia="Arial" w:hAnsi="Arial"/>
          <w:sz w:val="24"/>
          <w:szCs w:val="24"/>
        </w:rPr>
        <w:t xml:space="preserve">	</w:t>
      </w:r>
      <w:r>
        <w:rPr>
          <w:rFonts w:ascii="Arial" w:cs="Arial" w:eastAsia="Arial" w:hAnsi="Arial"/>
          <w:sz w:val="24"/>
          <w:szCs w:val="24"/>
        </w:rPr>
        <w:t xml:space="preserve">директор наземной службы и карго авиакомпании "Эйр Манас" (по согласованию);</w:t>
      </w:r>
    </w:p>
    <w:p>
      <w:pPr>
        <w:tabs>
          <w:tab w:val="right" w:pos="10178"/>
        </w:tabs>
        <w:spacing w:after="120"/>
      </w:pPr>
      <w:r>
        <w:rPr>
          <w:rFonts w:ascii="Arial" w:cs="Arial" w:eastAsia="Arial" w:hAnsi="Arial"/>
          <w:sz w:val="24"/>
          <w:szCs w:val="24"/>
        </w:rPr>
        <w:t xml:space="preserve">Алканова Элнура Сайдиракмановна</w:t>
      </w:r>
      <w:r>
        <w:rPr>
          <w:rFonts w:ascii="Arial" w:cs="Arial" w:eastAsia="Arial" w:hAnsi="Arial"/>
          <w:sz w:val="24"/>
          <w:szCs w:val="24"/>
        </w:rPr>
        <w:t xml:space="preserve">	</w:t>
      </w:r>
      <w:r>
        <w:rPr>
          <w:rFonts w:ascii="Arial" w:cs="Arial" w:eastAsia="Arial" w:hAnsi="Arial"/>
          <w:sz w:val="24"/>
          <w:szCs w:val="24"/>
        </w:rPr>
        <w:t xml:space="preserve">председатель правления общественного фонда "Фонд открытых данных";</w:t>
      </w:r>
    </w:p>
    <w:p>
      <w:pPr>
        <w:tabs>
          <w:tab w:val="right" w:pos="10178"/>
        </w:tabs>
        <w:spacing w:after="120"/>
      </w:pPr>
      <w:r>
        <w:rPr>
          <w:rFonts w:ascii="Arial" w:cs="Arial" w:eastAsia="Arial" w:hAnsi="Arial"/>
          <w:sz w:val="24"/>
          <w:szCs w:val="24"/>
        </w:rPr>
        <w:t xml:space="preserve">Аскарбеков Мавлян Амангельдиевич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tabs>
          <w:tab w:val="right" w:pos="10178"/>
        </w:tabs>
        <w:spacing w:after="120"/>
      </w:pPr>
      <w:r>
        <w:rPr>
          <w:rFonts w:ascii="Arial" w:cs="Arial" w:eastAsia="Arial" w:hAnsi="Arial"/>
          <w:sz w:val="24"/>
          <w:szCs w:val="24"/>
        </w:rPr>
        <w:t xml:space="preserve">Боронов Кубатбек Айылчиевич</w:t>
      </w:r>
      <w:r>
        <w:rPr>
          <w:rFonts w:ascii="Arial" w:cs="Arial" w:eastAsia="Arial" w:hAnsi="Arial"/>
          <w:sz w:val="24"/>
          <w:szCs w:val="24"/>
        </w:rPr>
        <w:t xml:space="preserve">	</w:t>
      </w:r>
      <w:r>
        <w:rPr>
          <w:rFonts w:ascii="Arial" w:cs="Arial" w:eastAsia="Arial" w:hAnsi="Arial"/>
          <w:sz w:val="24"/>
          <w:szCs w:val="24"/>
        </w:rPr>
        <w:t xml:space="preserve">общественный деятель (по согласованию);</w:t>
      </w:r>
    </w:p>
    <w:p>
      <w:pPr>
        <w:tabs>
          <w:tab w:val="right" w:pos="10178"/>
        </w:tabs>
        <w:spacing w:after="120"/>
      </w:pPr>
      <w:r>
        <w:rPr>
          <w:rFonts w:ascii="Arial" w:cs="Arial" w:eastAsia="Arial" w:hAnsi="Arial"/>
          <w:sz w:val="24"/>
          <w:szCs w:val="24"/>
        </w:rPr>
        <w:t xml:space="preserve">Исмаилова Толекан Асаналиевна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Кайрат Кенжебай уулу</w:t>
      </w:r>
      <w:r>
        <w:rPr>
          <w:rFonts w:ascii="Arial" w:cs="Arial" w:eastAsia="Arial" w:hAnsi="Arial"/>
          <w:sz w:val="24"/>
          <w:szCs w:val="24"/>
        </w:rPr>
        <w:t xml:space="preserve">	</w:t>
      </w:r>
      <w:r>
        <w:rPr>
          <w:rFonts w:ascii="Arial" w:cs="Arial" w:eastAsia="Arial" w:hAnsi="Arial"/>
          <w:sz w:val="24"/>
          <w:szCs w:val="24"/>
        </w:rPr>
        <w:t xml:space="preserve">главный редактор информационного сайта "Стоп Беспредел" (по согласованию);</w:t>
      </w:r>
    </w:p>
    <w:p>
      <w:pPr>
        <w:tabs>
          <w:tab w:val="right" w:pos="10178"/>
        </w:tabs>
        <w:spacing w:after="120"/>
      </w:pPr>
      <w:r>
        <w:rPr>
          <w:rFonts w:ascii="Arial" w:cs="Arial" w:eastAsia="Arial" w:hAnsi="Arial"/>
          <w:sz w:val="24"/>
          <w:szCs w:val="24"/>
        </w:rPr>
        <w:t xml:space="preserve">Култаев Кубанычбек Зулуевич</w:t>
      </w:r>
      <w:r>
        <w:rPr>
          <w:rFonts w:ascii="Arial" w:cs="Arial" w:eastAsia="Arial" w:hAnsi="Arial"/>
          <w:sz w:val="24"/>
          <w:szCs w:val="24"/>
        </w:rPr>
        <w:t xml:space="preserve">	</w:t>
      </w:r>
      <w:r>
        <w:rPr>
          <w:rFonts w:ascii="Arial" w:cs="Arial" w:eastAsia="Arial" w:hAnsi="Arial"/>
          <w:sz w:val="24"/>
          <w:szCs w:val="24"/>
        </w:rPr>
        <w:t xml:space="preserve">адвокат, полковник милиции в отставке (по согласованию);</w:t>
      </w:r>
    </w:p>
    <w:p>
      <w:pPr>
        <w:tabs>
          <w:tab w:val="right" w:pos="10178"/>
        </w:tabs>
        <w:spacing w:after="120"/>
      </w:pPr>
      <w:r>
        <w:rPr>
          <w:rFonts w:ascii="Arial" w:cs="Arial" w:eastAsia="Arial" w:hAnsi="Arial"/>
          <w:sz w:val="24"/>
          <w:szCs w:val="24"/>
        </w:rPr>
        <w:t xml:space="preserve">Махмудов Тимур Шаванович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tabs>
          <w:tab w:val="right" w:pos="10178"/>
        </w:tabs>
        <w:spacing w:after="120"/>
      </w:pPr>
      <w:r>
        <w:rPr>
          <w:rFonts w:ascii="Arial" w:cs="Arial" w:eastAsia="Arial" w:hAnsi="Arial"/>
          <w:sz w:val="24"/>
          <w:szCs w:val="24"/>
        </w:rPr>
        <w:t xml:space="preserve">Ошурахунова Динара Мажановна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Токтакунов Мухаммедали (Али) Нурмаматович</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Токтакунов Нурбек Акбарович</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Турдукулов Адиль Ильясович</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Турусбеков Бактыбек Сагындыкович</w:t>
      </w:r>
      <w:r>
        <w:rPr>
          <w:rFonts w:ascii="Arial" w:cs="Arial" w:eastAsia="Arial" w:hAnsi="Arial"/>
          <w:sz w:val="24"/>
          <w:szCs w:val="24"/>
        </w:rPr>
        <w:t xml:space="preserve">	</w:t>
      </w:r>
      <w:r>
        <w:rPr>
          <w:rFonts w:ascii="Arial" w:cs="Arial" w:eastAsia="Arial" w:hAnsi="Arial"/>
          <w:sz w:val="24"/>
          <w:szCs w:val="24"/>
        </w:rPr>
        <w:t xml:space="preserve">экс-депутат Жогорку Кенеша Кыргызской Республики 6-го созыва (по согласованию);</w:t>
      </w:r>
    </w:p>
    <w:p>
      <w:pPr>
        <w:tabs>
          <w:tab w:val="right" w:pos="10178"/>
        </w:tabs>
        <w:spacing w:after="120"/>
      </w:pPr>
      <w:r>
        <w:rPr>
          <w:rFonts w:ascii="Arial" w:cs="Arial" w:eastAsia="Arial" w:hAnsi="Arial"/>
          <w:sz w:val="24"/>
          <w:szCs w:val="24"/>
        </w:rPr>
        <w:t xml:space="preserve">Убышева Эркингуль Мукашевна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Четимбаев Самсаалы Темирбекович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aq4sp2a5-k5thmtbxfr">
      <w:r>
        <w:rPr>
          <w:rFonts w:ascii="Arial" w:cs="Arial" w:eastAsia="Arial" w:hAnsi="Arial"/>
          <w:color w:val="132D3F"/>
          <w:sz w:val="16"/>
          <w:szCs w:val="16"/>
          <w:u w:val="single"/>
        </w:rPr>
        <w:t xml:space="preserve">dalil.kg/document/430945</w:t>
      </w:r>
    </w:hyperlink>
  </w:p>
  <w:p>
    <w:pPr>
      <w:spacing w:after="0" w:before="40"/>
      <w:jc w:val="center"/>
    </w:pPr>
    <w:hyperlink w:history="1" r:id="rId4me1ht-nnfnahux38i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1vsqmmuxkqmjhpgrvz5" Type="http://schemas.openxmlformats.org/officeDocument/2006/relationships/hyperlink" Target="https://dalil.kg/document/112215#st_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aq4sp2a5-k5thmtbxfr" Type="http://schemas.openxmlformats.org/officeDocument/2006/relationships/hyperlink" Target="https://dalil.kg/document/430945" TargetMode="External"/><Relationship Id="rId4me1ht-nnfnahux38i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2026-09-30T13:09:40.916Z</dcterms:created>
  <dcterms:modified xsi:type="dcterms:W3CDTF">2026-09-30T13:09:40.916Z</dcterms:modified>
</cp:coreProperties>
</file>

<file path=docProps/custom.xml><?xml version="1.0" encoding="utf-8"?>
<Properties xmlns="http://schemas.openxmlformats.org/officeDocument/2006/custom-properties" xmlns:vt="http://schemas.openxmlformats.org/officeDocument/2006/docPropsVTypes"/>
</file>