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расчетов по определению арендной платы за использование муниципальных земель (земельных участков) и карты экономико-планировочных зон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iu1abnyzl8kgymcdwo6q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haobxljltv480clg5nn_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июня 2023 года №149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№393/08-6 от 20 ноября 2019 года, в соответствии статье 15 </w:t>
      </w:r>
      <w:hyperlink w:history="1" r:id="rIdgrgnpx3ckhjez8y1jr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Ош”, принимая во внимание постановление 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№46 от 9 декабря 2019 года, а также мнения и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нижеследующее: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-расчеты по определению арендной платы за использование муниципальных земель (земельных участков) согласно </w:t>
      </w:r>
      <w:hyperlink w:history="1" r:id="rIdtsm5gkdg-jqrxe77te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-карту экономико-планировочных зон по городу Ош согласно </w:t>
      </w:r>
      <w:hyperlink w:history="1" r:id="rId8g3apgywamyqanmuebr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2.Считать утратившим силу постановление №323 Ошского городского Кенеша от 10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3.Постановление зарегистрировать в установленном законодательством порядке (М.Давляев) и опубликовать в средствах массовой информации (С.Маматалиева).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№83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определению арендной платы за использование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муниципальных земель (земельных участков)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xjchewdcnlsl59ezomvk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ihrkvrhlufciimlti_hl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20 июня 2023 года №149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расчеты на основании Гражданского </w:t>
      </w:r>
      <w:hyperlink w:history="1" r:id="rIdfvbxkqez4obbtrptdhy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Земельного кодекса Кыргызской Республики, Закона Кыргызской Республики «О статусе города Ош», Закона Кыргызской Республики «О базовых ставках земельного налога за пользование землями сельскохозяйственного назначения, приусадебными и дачными земельными участками, землями населенных пунктов и несельскохозяйственного назначения», </w:t>
      </w:r>
      <w:r>
        <w:rPr>
          <w:rFonts w:ascii="Arial" w:cs="Arial" w:eastAsia="Arial" w:hAnsi="Arial"/>
          <w:sz w:val="24"/>
          <w:szCs w:val="24"/>
        </w:rPr>
        <w:t xml:space="preserve">статей </w:t>
      </w:r>
      <w:hyperlink w:history="1" r:id="rId00dhomj-xpbjhq4pctd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li4u-p90sros987kh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c8xhsbw2s1twuvzf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k5fguqq4gteaz-fuj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муниципальной собственности на имущество», с учетом постановления мэрии города Ош от 14 июня 2001 года № 587 и на основании иных нормативных правовых актов, определяющих арендные отношения, определяет порядок расчета арендной платы за земельные участки и укрепления договоров аренды.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Ап=НхSхК1хК2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</w:t>
      </w:r>
      <w:r>
        <w:rPr>
          <w:rFonts w:ascii="Arial" w:cs="Arial" w:eastAsia="Arial" w:hAnsi="Arial"/>
          <w:sz w:val="24"/>
          <w:szCs w:val="24"/>
        </w:rPr>
        <w:t xml:space="preserve">-ежемесячная арендная плата;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-ставка земельного налога согласно Налоговому Кодексу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-площадь земельного участка, квадратный метр;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К1</w:t>
      </w:r>
      <w:r>
        <w:rPr>
          <w:rFonts w:ascii="Arial" w:cs="Arial" w:eastAsia="Arial" w:hAnsi="Arial"/>
          <w:sz w:val="24"/>
          <w:szCs w:val="24"/>
        </w:rPr>
        <w:t xml:space="preserve">-коэффициент функционального назначения;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К2</w:t>
      </w:r>
      <w:r>
        <w:rPr>
          <w:rFonts w:ascii="Arial" w:cs="Arial" w:eastAsia="Arial" w:hAnsi="Arial"/>
          <w:sz w:val="24"/>
          <w:szCs w:val="24"/>
        </w:rPr>
        <w:t xml:space="preserve">–зона экономического планирования.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Коэффициенты функциональных назначений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карьеры: от 1 квадратного метра до 10 000 квадратных метров-1,0; от 10 000 квадратных метров до 30 000 квадратных метров-0,8; от 30 001 квадратного метра до 60 000 квадратных метров-0,6; от 60 001 квадратного метра и выше-0,4.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промышленность, горнодобывающие предприятия - 2;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складские предприятия - 3;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склад, катки - 4;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 (с постройками и площадью)  - 6;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самовольно возведенные ограждения безопасности – 20;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навесы, кухонные навесы и сараи – 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малые предприятия до 500 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., швейные мастерские (реставрация) -10;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 рынки –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торговые центры, парикмахерские, мастерские по ремонту обуви, лестницы, общественное питание, автосервисы, автомастерские, автозаправки, автомойки, гостиницы, гостевые дома, офисы, биржи, торговые комплексы, компьютерные классы, переделанные</w:t>
      </w:r>
      <w:r>
        <w:rPr>
          <w:rFonts w:ascii="Arial" w:cs="Arial" w:eastAsia="Arial" w:hAnsi="Arial"/>
          <w:sz w:val="24"/>
          <w:szCs w:val="24"/>
        </w:rPr>
        <w:t xml:space="preserve">квартиры,  </w:t>
      </w:r>
      <w:r>
        <w:rPr>
          <w:rFonts w:ascii="Arial" w:cs="Arial" w:eastAsia="Arial" w:hAnsi="Arial"/>
          <w:sz w:val="24"/>
          <w:szCs w:val="24"/>
        </w:rPr>
        <w:t xml:space="preserve">салоны красоты, бизнес-центры, пункты связи, аптеки и </w:t>
      </w:r>
      <w:r>
        <w:rPr>
          <w:rFonts w:ascii="Arial" w:cs="Arial" w:eastAsia="Arial" w:hAnsi="Arial"/>
          <w:sz w:val="24"/>
          <w:szCs w:val="24"/>
        </w:rPr>
        <w:t xml:space="preserve">объекты частного обслуживания, </w:t>
      </w:r>
      <w:r>
        <w:rPr>
          <w:rFonts w:ascii="Arial" w:cs="Arial" w:eastAsia="Arial" w:hAnsi="Arial"/>
          <w:sz w:val="24"/>
          <w:szCs w:val="24"/>
        </w:rPr>
        <w:t xml:space="preserve">газетные киоски, киоски, </w:t>
      </w:r>
      <w:r>
        <w:rPr>
          <w:rFonts w:ascii="Arial" w:cs="Arial" w:eastAsia="Arial" w:hAnsi="Arial"/>
          <w:sz w:val="24"/>
          <w:szCs w:val="24"/>
        </w:rPr>
        <w:t xml:space="preserve">ларьки, пекарни, </w:t>
      </w:r>
      <w:r>
        <w:rPr>
          <w:rFonts w:ascii="Arial" w:cs="Arial" w:eastAsia="Arial" w:hAnsi="Arial"/>
          <w:sz w:val="24"/>
          <w:szCs w:val="24"/>
        </w:rPr>
        <w:t xml:space="preserve">бытовые услуги, процедурные кабинеты - 20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батуты, торговые места перед магазином - один квадратный метр (1м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должен быть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центральных улицах города Ош, вокруг центрального и малых рынков или в местах массового скопления людей, места, аттракционы и карусели, которые используются во временную аренду, должны стоить не менее 200 сомов за квадратный метр (1м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земельного участка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банки, ломбарды, обменные пункты, увеселительные заведения, казино, ночные клубы, трансформеры, временные площадки для караоке, один квадратный метр (1м2) земельного участка должен стоить не менее 200 сомов в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газозаправки и пункты зарядки электромобилей должны стоить не менее 500 сомов за квадратный метр;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 от местонахождения банкоматов ежемесячная арендная плата должна быть не менее 5000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должна быть утверждена следующая табличная форма сезонной торговли. Сезонный договор на срок от одного до шести месяцев следует заключать, если место соответствует всем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"/>
        <w:gridCol w:w="4234"/>
        <w:gridCol w:w="2169"/>
        <w:gridCol w:w="3007"/>
      </w:tblGrid>
      <w:tr>
        <w:tc>
          <w:tcPr>
            <w:tcW w:type="dxa" w:w="7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2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</w:t>
            </w:r>
          </w:p>
        </w:tc>
        <w:tc>
          <w:tcPr>
            <w:tcW w:type="dxa" w:w="2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договора аренды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аренды (сом)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Холодильники, установленные перед магазином 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Велосипеды, ударные автоматы (силомер), электросамокаты, электромотоциклы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машинка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ай 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Напитки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Промостойка (стол по продаже сим карт)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арбузов, дынь, овощей, фруктов и цветов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10м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Мороженое, коктейль, аппараты газированных напитков, передвижные закусочные и т. д. гриль, тандыр, гриль-барбекю и другие сезонные уличные точки, веб кассы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Паровоз (детская игровая)</w:t>
            </w:r>
          </w:p>
        </w:tc>
        <w:tc>
          <w:tcPr>
            <w:tcW w:type="dxa" w:w="2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ставка арендной платы для зоны К2: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1 – 2,8;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2 – 2,4;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3 – 2,0;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4 – 1,8;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5 – 1,4;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6 – 1,2;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зоны 7 – 0,9;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коэффициент К1 не указан выше для некоторых объектов, если здание не строится или строится, но не эксплуатируется, допускается применять коэффициент 2 для коэффициента К1.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если земельный участок расположен в людном месте, на пересечении улиц, вблизи крупных учреждений и административных центров, допускается применять поправочные коэффициенты коэффициента К1 от 2 до 5. В этом случае обоснование оформляется соответствующими специалистами в виде расчетного заключения или акта.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арендатором при расчете арендной платы за земельный участок, находящегося во временном пользовании, допускается увеличение арендной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Ошское региональное управление градостроительства и архитектуры ранее выдало заключение или план земельного участка, на который заключен договор аренды с управлением муниципальной собственности, если направление или площадь участка не меняется, управление может самостоятельно продлить срок действия договора аренды без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В зависимости от площади благоустройства и озеленения (таблица №1):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Таблица №1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7"/>
        <w:gridCol w:w="1201"/>
        <w:gridCol w:w="856"/>
        <w:gridCol w:w="1020"/>
        <w:gridCol w:w="1075"/>
        <w:gridCol w:w="1020"/>
        <w:gridCol w:w="994"/>
        <w:gridCol w:w="1755"/>
      </w:tblGrid>
      <w:tr>
        <w:tc>
          <w:tcPr>
            <w:tcW w:type="dxa" w:w="22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озеленение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50 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51-200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201-300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301-500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501-1000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1001-5000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5001 </w:t>
            </w:r>
          </w:p>
        </w:tc>
      </w:tr>
      <w:tr>
        <w:tc>
          <w:tcPr>
            <w:tcW w:type="dxa" w:w="22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Цена: кв. м. (сом кв. м)</w:t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Апз = (SxC);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Апз – размер ежемесячной арендной платы за земельный участок;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– площадь земельного участка;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– нормативная ставка арендной платы (сом. кв.м).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к постановлению очередной </w:t>
      </w:r>
      <w:r>
        <w:rPr>
          <w:rFonts w:ascii="Arial" w:cs="Arial" w:eastAsia="Arial" w:hAnsi="Arial"/>
          <w:sz w:val="24"/>
          <w:szCs w:val="24"/>
        </w:rPr>
        <w:t xml:space="preserve">XIV сессии Ошского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№83 от 15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экономико-планировочных зон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Ошского городского кенеша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</w:t>
      </w:r>
      <w:hyperlink w:history="1" r:id="rId_udswfh4vcz-z24bwgjy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15 ноября 2022 года № 83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«Прима-Hyp» (Ошский район), пр.И.Раззакова с правой стороны от пересечения с ул.Карасуйская до перекрестка, до пересечения с ул.Артыкова, с левой стороны до пересечения с ул.Салиевой;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ул.Артыкова от пересечения с пр.Раззакова до ул.Беш-Копуро;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им.Пичугина (сквер космонавтов);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улицы Ж.Раимбекова, Уч-Кочо, Базарная, Центральный рынок;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ул.Ошская от мини рынка АО “Кара-Суу-Дан-Азык” включая территорию до школы им.Фрунзе;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мини рынка АО “Кара-Суу-Дан-Азык” до школы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ул.Карасуйская от пересечения с ул.Уч-Кочо до пр.Масалиева;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им.Навои;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ул.Р.Абдыкадырова до ул.Мамажан, включая территорию Шайит-Тюбе и территорию до дома №551 ул.Ленина;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Курманжан-Датка (возле универмага Ош);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ул.Мамажана от пересечения с ул.Базарная до ул.Токтогула;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“Араванская”, ул.Курманжан-Датка, от ул.8-марта до ул.Моминовой, ул.Г.Айтиева от пересечения с ул.Ленина до ул.Алиева;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городской сквер “Алымбек датка айылы”;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перед Домом счастья;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 мини рынка “Фрунзенская, ул.Курманжан датка от пересечения с ул.М.Джиннах (Советская) до ул.Грибоедова;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ул.Монуева от пересечения с пр.Масалиева включая правую, левую стороны, до ул.Верхне-Увамская (до конца территории Ошской областной клинической больницы);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пр.Масалиева от пересечения с ул.Карасуйская (Ошский район) до памятника А.Масалиеву  возле ул.Ленинградская включая правую, левую стороны;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(круговая) до СШ им.П.Нышанова;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пересечения с ул.Б.Осмонова до конечной остановки маршрутки №113;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пр.А.Масалиева до ул.К.Датка;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ул.Ленина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ул.Жунусова;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Толонова, Ворошилова до дома 328 ул.Толонова;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по ул.Алиева, между ул.М.Джиннах (Советская) и Асранкулова;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Мамырова и Закирова до ул.Амир Темура (Калинина);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центральная площадь им.Ленина;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парка им.Токтогула, включая территорию бассейна.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ул.Мажиримтал от пересечения с ул.Навои до кафе-бара “Кымыз-Бар”;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ул.Б.Осмонова от пересечения с ул.Р.Абдыкадырова до ресторана “Олигарх” (Мундуз), кафе “Нирвана”;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ул.М.Джиннах (Советская) до ул.Моминова;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им.И.Раззакова;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ул.Ломоносова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между облгосадминистрацией и церковью;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театральный сквер вокруг Кыргызского драматического театра;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ул.Амира Темура (Калинина) от пересечения с ул.Г.Айтиева до ул.Мамырова;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Ошского Кыргызско-Узбекского университета и окрестности кафе “Жетиген”, до ул.Ташкентская, парк Победы;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-район кафе “Айкол”, сквер мкр.Курманжан-Датка (Юго-Восток), включая конечную остановку маршрутки №2, до ул.Мирсаатова;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от пересечения с ул.Алиева до АЗС “Сулайман-Тоо”;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ул.А.Темура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ул.И.Монуева  до ресторана “Казына”;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Санкт-Петербургская и Мамырова до ул.№44;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пересечения улиц Атабаева и Мамырова до ул.Ленинабадская;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ул.М.Алымбекова (Фрунзенская) от пересечения с ул.Ленина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ул.Нурматова полностью от ул.Ленина до ул.А.Шакирова;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пересечений улиц Мамырова и А.Темура до ресторана “Касиет”;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микрорайон “Анар” полностью.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-пр.А.Масалиева начиная от памятника А.Масалиеву до пересечения ул.Нурматова;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окрестности Сулайман-Тоо;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ул.Артыкова (от банка «KICB») до магазина “Гулкайыр”, до поворота к Госрегистру;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-ул.Гренажная от пересечения с ул.Нурматова до ул.А.Шакирова, район сквера шелкокомбината (Жибек);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-ул.Р.Абдыкадырова от пересечения с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ул.Мамырова от пересечения с ул.А.Темур до ул.Б.Осмонова;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ул.К.Датка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пересечения с ул.Водопроводная до ул.Нурматова (Голубева);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ул.Асранкулова от ул.К.Датка до ул.Алиева (Хохлова);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ул.Г.Айтиева начиная от АЗС “Сулайман-Тоо” до пересечения с ул.Б.Осмонова-Ахмедова;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квартал мкр.Т.Кулатова;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ул.Кокумбий от конечной остановки маршрутки №113 трасса Ош-Араван до поворота села Кенеш;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ул.Касымбекова, окрестности городской ГАИ и терек базар;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№551, до пересечения 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ул.Курманжан Датка от пересечения с ул.8-марта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от дома №551 до пересечения ул.Касымбекова; мкр.”Амир-Темур” (улицы С.Айни-Имам Ата);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ул.У.Салиевой, от банка «KICB» до дома №40 (дом гармошка) по ул.У.Салиевой;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ул.А.Шакирова от ресторана “Казына” до СШ №2 им Карла Маркса;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неназванные территории мкр.Туран;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ул.Ишматова от пересечения с ул.Толонова до конечной остановки маршруток №9 и №22, включая территорию мини рынка;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ул.Толонова, от пересечения с ул.Низами до ул.Ишматова (Южный);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мини рынка “Нуманжан” (геологогородок), ул.Суюмбаева (Шахтерская), ул.Низами;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-мкр.Ак-Тилек полностью; ул.Т.Турсунбаевой (Привокзальная)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-ул.Курманжан Датка от пересечения с ул.Суюнбаева до ул.М.Алымбекова (Фрунзенская);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ул.А.Жунусова (Чапаева) от пересечения с ул.Ленина до ул.Алиева;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 мкр.”Черемушки” и “Достук”;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авиагородок возле аэропорта города Ош;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ул.Н.Исанова от Кыргызско-Узбекского университета до конечной остановки троллейбуса.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пр.Раззакова от магазина “Гулкайыр” от поворота к Госрегистру до ул.Касымбекова;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ул.Навои от пересечения с ул.К.Датка до ул.Алебастрова;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ул.Ашимахунова от пересечения с ул.А.Масалиева до старой нефтебазы;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сквер “Ата-Турк”, территория кинотеатра “Кыргызстан”, до ул.Г.Айтиева;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территория областного роддома, улицы Школьная, Шота-Руставели, территория вокруг областной СЭС, ул.Урицкая, от ул.Школьная до ул.Р.Абдыкадырова;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пр.И.Раззакова до АЗС “Кайнар”;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ул.Касымбекова до дома №44 (гармошка) по ул.Салиевой;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ул.Артыкова до конца улиц М.Ахунова и Темир жол;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-пр.И.Раззакова от пересечения с ул.Касымбекова до железнодорожного переезда;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ул.Ленина начиная от с.Тулейкен до пересечения с ул.Водопроводная;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ул.Р.Абдыкадырова от пересечения с ул.Алиева до ул.А.Темура;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кварталы мкр.Туран и Дачные участки полностью.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ул.Касымбекова от пересечения с ул.Салиевой до ул.К.Датка;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ул.Мадумарова полностью;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территории внутренних кварталов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МТУ “Амир-Темур” и Жапалакское территориальное управление сёл города Ош (внутренние кварталы).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№7: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названные улицы в окрестностях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ik3qftsal9pp0yvte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dalil.kg/document/432378</w:t>
      </w:r>
    </w:hyperlink>
  </w:p>
  <w:p>
    <w:pPr>
      <w:spacing w:after="0" w:before="40"/>
      <w:jc w:val="center"/>
    </w:pPr>
    <w:hyperlink w:history="1" r:id="rIdxyujbhi1cj6zlnwld_7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1abnyzl8kgymcdwo6qc" Type="http://schemas.openxmlformats.org/officeDocument/2006/relationships/hyperlink" Target="https://dalil.kg/document/230032632" TargetMode="External"/><Relationship Id="rIdhaobxljltv480clg5nn_h" Type="http://schemas.openxmlformats.org/officeDocument/2006/relationships/hyperlink" Target="https://dalil.kg/document/230033164" TargetMode="External"/><Relationship Id="rIdgrgnpx3ckhjez8y1jrdcv" Type="http://schemas.openxmlformats.org/officeDocument/2006/relationships/hyperlink" Target="https://dalil.kg/document/205093" TargetMode="External"/><Relationship Id="rIdtsm5gkdg-jqrxe77tejer" Type="http://schemas.openxmlformats.org/officeDocument/2006/relationships/hyperlink" Target="https://dalil.kg/document/432378#p1" TargetMode="External"/><Relationship Id="rId8g3apgywamyqanmuebrxg" Type="http://schemas.openxmlformats.org/officeDocument/2006/relationships/hyperlink" Target="https://dalil.kg/document/432378#p2" TargetMode="External"/><Relationship Id="rIdxjchewdcnlsl59ezomvkh" Type="http://schemas.openxmlformats.org/officeDocument/2006/relationships/hyperlink" Target="https://dalil.kg/document/230032632" TargetMode="External"/><Relationship Id="rIdihrkvrhlufciimlti_hls" Type="http://schemas.openxmlformats.org/officeDocument/2006/relationships/hyperlink" Target="https://dalil.kg/document/230033164" TargetMode="External"/><Relationship Id="rIdfvbxkqez4obbtrptdhy0_" Type="http://schemas.openxmlformats.org/officeDocument/2006/relationships/hyperlink" Target="https://dalil.kg/document/4" TargetMode="External"/><Relationship Id="rId00dhomj-xpbjhq4pctdex" Type="http://schemas.openxmlformats.org/officeDocument/2006/relationships/hyperlink" Target="https://dalil.kg/document/112302#st_27" TargetMode="External"/><Relationship Id="rIdwli4u-p90sros987khalt" Type="http://schemas.openxmlformats.org/officeDocument/2006/relationships/hyperlink" Target="https://dalil.kg/document/112302#st_34" TargetMode="External"/><Relationship Id="rIdyoc8xhsbw2s1twuvzfjqy" Type="http://schemas.openxmlformats.org/officeDocument/2006/relationships/hyperlink" Target="https://dalil.kg/document/112302#st_39" TargetMode="External"/><Relationship Id="rIdzk5fguqq4gteaz-fujmgf" Type="http://schemas.openxmlformats.org/officeDocument/2006/relationships/hyperlink" Target="https://dalil.kg/document/112302#st_40" TargetMode="External"/><Relationship Id="rId_udswfh4vcz-z24bwgjy3" Type="http://schemas.openxmlformats.org/officeDocument/2006/relationships/hyperlink" Target="https://dalil.kg/document/23003263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ik3qftsal9pp0yvtejv" Type="http://schemas.openxmlformats.org/officeDocument/2006/relationships/hyperlink" Target="https://dalil.kg/document/432378" TargetMode="External"/><Relationship Id="rIdxyujbhi1cj6zlnwld_7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2026-09-29T15:09:32.014Z</dcterms:created>
  <dcterms:modified xsi:type="dcterms:W3CDTF">2026-09-29T15:09:32.014Z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