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ТОКМАКСКИЙ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№260/32-4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Токмокского городского кенеша от 26 декабря 2019 года №242/31-4 “Об утверждении структуры Управления муниципальной собственности города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Д.Дж.Амангелдиева от 03.02.2020г. вх.№02-17/8 и согласно протокола постоянной депутатской комиссии по мандатам, по этике депутатов и становлению самоуправления Токмокского городского кенеша, а также руководствуясь Законами Кыргызской Республики «О местном самоуправлении», «О статусе местных кенешей»,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 постановление Токмокского городского кенеша от 26 декабря 2019 года №242/31-4 “Об утверждении структуры Управления муниципальной собственности города Токмок”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пункт 2 слово “специалист” заменить словом “ведущий специалист”.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Контроль за исполнением настоящего постановления возложить на постоянную депутатскую комиссию по мандатам, по этике депутатов и становлению самоуправления Токмокскогог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к постановлению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Токмок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4-февраля 2020г.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№ 260/32-4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 управления муниципальной собственности г.Токмок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Начальник 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Младший обслуживающий персонал (20)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Водитель служебной автомашины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Слесарь по ремонту электрооборудования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Сантехник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Техничка зд.мэрии УМС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Техничка УМС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Техничка зд. ТРЭСТ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Охранники зд.ТРЭСТ (4)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Охранник АО «Айнек»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Охранник зд. «СЮТ»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-Охранник зд.общежития ср. школы №13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Охранник зд. Недостроенной школы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Дворник (2)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Отдел по учету объектов муниципальной собственности (5)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Заведующий отделом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Главный специалист по объектам и сооружениям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специалист по земельным вопросам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специалист по аренде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Специалист по земельным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Отдел государственных закупок и (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Заведующий отделом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Главный специалист по государственным закупкам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специалист по подготовке тендерной документации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специалист по составлению смет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с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пециалист по работе с проектами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Отдел мониторинга деятельности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МП, капитального строительства и городской инфраструктуры (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Заведующий отделом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Главный специалист по жилищной политике и учету жилого фонда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Главный специалист по координации деятельности МП и коммунальных служб города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специалист по капитальному строительству и техническому надзору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Отдел документационно-правового обеспечения (4)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Заведующий отделом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Главный специалист по правовым вопросам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специалист по организации деятельности комиссии по застройке и землепользованию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Специалист по кадрам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Технический обслуживающий 
 персонал (8)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Главный бухгалтер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Материальный бухгалтер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Кассир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Специалист по документационному обеспечению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Архивариус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Секретарь-делопроизводитель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Комендант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Заведующий хозяйством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Телефон доверия-146» (4)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-Старший оператор;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-Оператор (3)</w:t>
            </w:r>
          </w:p>
        </w:tc>
      </w:tr>
    </w:tbl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18"/>
          <w:szCs w:val="18"/>
        </w:rPr>
        <w:t xml:space="preserve">Руководство – 1 единица</w:t>
      </w:r>
    </w:p>
    <w:p>
      <w:pPr>
        <w:spacing w:after="120"/>
        <w:jc w:val="right"/>
      </w:pPr>
      <w:r>
        <w:rPr>
          <w:rFonts w:ascii="Arial" w:cs="Arial" w:eastAsia="Arial" w:hAnsi="Arial"/>
          <w:sz w:val="18"/>
          <w:szCs w:val="18"/>
        </w:rPr>
        <w:t xml:space="preserve">Муниципальные служащие- </w:t>
      </w:r>
      <w:r>
        <w:rPr>
          <w:rFonts w:ascii="Arial" w:cs="Arial" w:eastAsia="Arial" w:hAnsi="Arial"/>
          <w:sz w:val="18"/>
          <w:szCs w:val="18"/>
        </w:rPr>
        <w:t xml:space="preserve">1</w:t>
      </w:r>
      <w:r>
        <w:rPr>
          <w:rFonts w:ascii="Arial" w:cs="Arial" w:eastAsia="Arial" w:hAnsi="Arial"/>
          <w:sz w:val="18"/>
          <w:szCs w:val="18"/>
        </w:rPr>
        <w:t xml:space="preserve">8</w:t>
      </w:r>
      <w:r>
        <w:rPr>
          <w:rFonts w:ascii="Arial" w:cs="Arial" w:eastAsia="Arial" w:hAnsi="Arial"/>
          <w:sz w:val="18"/>
          <w:szCs w:val="18"/>
        </w:rPr>
        <w:t xml:space="preserve"> ед.</w:t>
      </w:r>
    </w:p>
    <w:p>
      <w:pPr>
        <w:spacing w:after="120"/>
        <w:jc w:val="right"/>
      </w:pPr>
      <w:r>
        <w:rPr>
          <w:rFonts w:ascii="Arial" w:cs="Arial" w:eastAsia="Arial" w:hAnsi="Arial"/>
          <w:sz w:val="18"/>
          <w:szCs w:val="18"/>
        </w:rPr>
        <w:t xml:space="preserve">ТОП-</w:t>
      </w:r>
      <w:r>
        <w:rPr>
          <w:rFonts w:ascii="Arial" w:cs="Arial" w:eastAsia="Arial" w:hAnsi="Arial"/>
          <w:sz w:val="18"/>
          <w:szCs w:val="18"/>
        </w:rPr>
        <w:t xml:space="preserve">8</w:t>
      </w:r>
      <w:r>
        <w:rPr>
          <w:rFonts w:ascii="Arial" w:cs="Arial" w:eastAsia="Arial" w:hAnsi="Arial"/>
          <w:sz w:val="18"/>
          <w:szCs w:val="18"/>
        </w:rPr>
        <w:t xml:space="preserve"> ед.</w:t>
      </w:r>
    </w:p>
    <w:p>
      <w:pPr>
        <w:spacing w:after="120"/>
        <w:jc w:val="right"/>
      </w:pPr>
      <w:r>
        <w:rPr>
          <w:rFonts w:ascii="Arial" w:cs="Arial" w:eastAsia="Arial" w:hAnsi="Arial"/>
          <w:sz w:val="18"/>
          <w:szCs w:val="18"/>
        </w:rPr>
        <w:t xml:space="preserve">МОП-</w:t>
      </w:r>
      <w:r>
        <w:rPr>
          <w:rFonts w:ascii="Arial" w:cs="Arial" w:eastAsia="Arial" w:hAnsi="Arial"/>
          <w:sz w:val="18"/>
          <w:szCs w:val="18"/>
        </w:rPr>
        <w:t xml:space="preserve">32</w:t>
      </w:r>
      <w:r>
        <w:rPr>
          <w:rFonts w:ascii="Arial" w:cs="Arial" w:eastAsia="Arial" w:hAnsi="Arial"/>
          <w:sz w:val="18"/>
          <w:szCs w:val="18"/>
        </w:rPr>
        <w:t xml:space="preserve"> ед.</w:t>
      </w:r>
    </w:p>
    <w:p>
      <w:pPr>
        <w:spacing w:after="120"/>
        <w:jc w:val="right"/>
      </w:pPr>
      <w:r>
        <w:rPr>
          <w:rFonts w:ascii="Arial" w:cs="Arial" w:eastAsia="Arial" w:hAnsi="Arial"/>
          <w:sz w:val="18"/>
          <w:szCs w:val="18"/>
        </w:rPr>
        <w:t xml:space="preserve">Итого: </w:t>
      </w:r>
      <w:r>
        <w:rPr>
          <w:rFonts w:ascii="Arial" w:cs="Arial" w:eastAsia="Arial" w:hAnsi="Arial"/>
          <w:sz w:val="18"/>
          <w:szCs w:val="18"/>
        </w:rPr>
        <w:t xml:space="preserve">63</w:t>
      </w:r>
      <w:r>
        <w:rPr>
          <w:rFonts w:ascii="Arial" w:cs="Arial" w:eastAsia="Arial" w:hAnsi="Arial"/>
          <w:sz w:val="18"/>
          <w:szCs w:val="18"/>
        </w:rPr>
        <w:t xml:space="preserve"> ед.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ocrc0kbeaesqnbkdo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dalil.kg/document/433255</w:t>
      </w:r>
    </w:hyperlink>
  </w:p>
  <w:p>
    <w:pPr>
      <w:spacing w:after="0" w:before="40"/>
      <w:jc w:val="center"/>
    </w:pPr>
    <w:hyperlink w:history="1" r:id="rId06vuxiysey6rrkhd53t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ocrc0kbeaesqnbkdo-l" Type="http://schemas.openxmlformats.org/officeDocument/2006/relationships/hyperlink" Target="https://dalil.kg/document/433255" TargetMode="External"/><Relationship Id="rId06vuxiysey6rrkhd53t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2026-10-02T23:16:31.803Z</dcterms:created>
  <dcterms:modified xsi:type="dcterms:W3CDTF">2026-10-02T23:16:31.803Z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