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right"/>
      </w:pPr>
      <w:r>
        <w:rPr>
          <w:rFonts w:ascii="Arial" w:cs="Arial" w:eastAsia="Arial" w:hAnsi="Arial"/>
          <w:sz w:val="24"/>
          <w:szCs w:val="24"/>
        </w:rPr>
        <w:t xml:space="preserve">Перевод осуществлен с государственного
 языка на официальный</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ИМЕНЕМ КЫРГЫЗСКОЙ РЕСПУБЛИКИ
 РЕШЕНИЕ КОНСТИТУЦИОННОЙ ПАЛАТЫ ВЕРХОВНОГО СУДА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от 10 марта 2021 года</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примечания </w:t>
      </w:r>
      <w:hyperlink w:history="1" r:id="rId1yhj5n_1azlzfqo3modex">
        <w:r>
          <w:rPr>
            <w:rFonts w:ascii="Arial" w:cs="Arial" w:eastAsia="Arial" w:hAnsi="Arial"/>
            <w:b w:val="false"/>
            <w:bCs w:val="false"/>
            <w:color w:val="1D4ED8"/>
            <w:sz w:val="24"/>
            <w:szCs w:val="24"/>
            <w:u w:val="single"/>
          </w:rPr>
          <w:t xml:space="preserve">статьи 170</w:t>
        </w:r>
      </w:hyperlink>
      <w:r>
        <w:rPr>
          <w:rFonts w:ascii="Arial" w:cs="Arial" w:eastAsia="Arial" w:hAnsi="Arial"/>
          <w:b w:val="false"/>
          <w:bCs w:val="false"/>
          <w:sz w:val="24"/>
          <w:szCs w:val="24"/>
        </w:rPr>
        <w:t xml:space="preserve"> Уголовного кодекса Кыргызской Республики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в связи обращениями Жорокулова Максатбека Мергенбаевича, Кочкорова Ниязбека Улукбековича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Жорокулова Максатбека Мергенбаевича и Кочкорова Ниязбека Улукбековича;</w:t>
      </w:r>
    </w:p>
    <w:p>
      <w:pPr>
        <w:spacing w:after="60"/>
        <w:ind w:firstLine="567"/>
        <w:jc w:val="both"/>
      </w:pPr>
      <w:r>
        <w:rPr>
          <w:rFonts w:ascii="Arial" w:cs="Arial" w:eastAsia="Arial" w:hAnsi="Arial"/>
          <w:sz w:val="24"/>
          <w:szCs w:val="24"/>
        </w:rPr>
        <w:t xml:space="preserve">стороны-ответчика - Жусубакунова Мирбека Урановича и Арзиева Мирбека Исамаматовича, представителей Жогорку Кенеша Кыргызской Республики по доверенности;</w:t>
      </w:r>
    </w:p>
    <w:p>
      <w:pPr>
        <w:spacing w:after="60"/>
        <w:ind w:firstLine="567"/>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Искакова Эркина Бакбуровича,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Курманбаевой Аиды Маратовны, представителя Министерства юстиции Кыргызской Республики по доверенности, Ашырбекова Эдиля Асановича, представителя Министерства внутренних дел Кыргызской Республики по доверенности,</w:t>
      </w:r>
    </w:p>
    <w:p>
      <w:pPr>
        <w:spacing w:after="60"/>
        <w:ind w:firstLine="567"/>
        <w:jc w:val="both"/>
      </w:pPr>
      <w:r>
        <w:rPr>
          <w:rFonts w:ascii="Arial" w:cs="Arial" w:eastAsia="Arial" w:hAnsi="Arial"/>
          <w:sz w:val="24"/>
          <w:szCs w:val="24"/>
        </w:rPr>
        <w:t xml:space="preserve">руководствуясь частями 1, 6 </w:t>
      </w:r>
      <w:hyperlink w:history="1" r:id="rIdbkxldhm4b-zb4s79gjvjh">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ix7zvqxlsl9t3iibqqnzv">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s2p4qjgnjc7bspdx7tmty">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rgqfanfan6rjnadhupo8e">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w1wchodp-vg_ne5flnoui">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tmolythh_ke3pioh_5vnh">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примечания </w:t>
      </w:r>
      <w:hyperlink w:history="1" r:id="rIdpmbknl7kvfkuqeb1ztnyp">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Поводом к рассмотрению данного дела явились ходатайства Жорокулова М.М. и Кочкорова Н.У.</w:t>
      </w:r>
    </w:p>
    <w:p>
      <w:pPr>
        <w:spacing w:after="60"/>
        <w:ind w:firstLine="567"/>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b4-znumwbyheqx6tyr4g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примечание </w:t>
      </w:r>
      <w:hyperlink w:history="1" r:id="rIdpgwykhnfwn_qehfz2lfo0">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обсудив доводы сторон, выслушав объяснения иных лиц и исследовав материалы дела,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3 августа 2020 года поступило ходатайство Жорокулова М.М. о признании противоречащим примечания </w:t>
      </w:r>
      <w:hyperlink w:history="1" r:id="rIdeg8s31vysimkrxkesdi6i">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(далее - УК),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части </w:t>
      </w:r>
      <w:r>
        <w:rPr>
          <w:rFonts w:ascii="Arial" w:cs="Arial" w:eastAsia="Arial" w:hAnsi="Arial"/>
          <w:sz w:val="24"/>
          <w:szCs w:val="24"/>
        </w:rPr>
        <w:t xml:space="preserve">5 статьи 16, пункту 8 части 5 статьи 20, части 1 статьи 24, части 1 статьи 40 </w:t>
      </w:r>
      <w:hyperlink w:history="1" r:id="rIdkdytb-xqqnmnnaqywnuo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Как указано в ходатайстве, в соответствии с частью 1 </w:t>
      </w:r>
      <w:hyperlink w:history="1" r:id="rIdukgpsif-6-qgl1x6hkps3">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nzmntfoou6fks9u37ijnk">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указанного Кодекса, совершенное путем захвата, обмана или с применением насилия, не опасного для жизни и здоровья, либо угрозы применения такого насилия наказывается лишением свободы II категории.</w:t>
      </w:r>
    </w:p>
    <w:p>
      <w:pPr>
        <w:spacing w:after="60"/>
        <w:ind w:firstLine="567"/>
        <w:jc w:val="both"/>
      </w:pPr>
      <w:r>
        <w:rPr>
          <w:rFonts w:ascii="Arial" w:cs="Arial" w:eastAsia="Arial" w:hAnsi="Arial"/>
          <w:sz w:val="24"/>
          <w:szCs w:val="24"/>
        </w:rPr>
        <w:t xml:space="preserve">В соответствии с частью 2 этой же статьи, то же деяние, совершенное группой лиц или группой лиц по предварительному сговору; в отношении заведомо несовершеннолетнего; в отношении женщины, заведомо для виновного находящейся в состоянии беременности; с целью получения выкупа либо иной личной заинтересованности; в отношении двух или более лиц; с причинением по неосторожности тяжкого вреда; с целью изъятия у лица или у умершего человека органов или тканей для трансплантации наказывается лишением свободы III категории.</w:t>
      </w:r>
    </w:p>
    <w:p>
      <w:pPr>
        <w:spacing w:after="60"/>
        <w:ind w:firstLine="567"/>
        <w:jc w:val="both"/>
      </w:pPr>
      <w:r>
        <w:rPr>
          <w:rFonts w:ascii="Arial" w:cs="Arial" w:eastAsia="Arial" w:hAnsi="Arial"/>
          <w:sz w:val="24"/>
          <w:szCs w:val="24"/>
        </w:rPr>
        <w:t xml:space="preserve">При этом в примечании вышеуказанной статьи предусматривается, что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По мнению субъекта обращения, применение оспариваемой нормы освобождает преступника от уголовной ответственности за похищение человека, если он добровольно освободил похищенного человека в течение 72 часов с момента похищения, не смотря на наличие отягчающих обстоятельств, таких как совершение деяния группой лиц или группой лиц по предварительному сговору, в отношении заведомо несовершеннолетнего, в отношении женщины, заведомо для виновного находящейся в состоянии беременности, с целью получения выкупа либо иной личной заинтересованности; в отношении двух или более лиц, суд не может рассмотреть дело. В результате этого, по мнению субъекта обращения, нарушаются права похищенного человека на свободу и неприкосновенность, право на судебную защиту, а также гарантия обеспечения наилучших интересов ребенка.</w:t>
      </w:r>
    </w:p>
    <w:p>
      <w:pPr>
        <w:spacing w:after="60"/>
        <w:ind w:firstLine="567"/>
        <w:jc w:val="both"/>
      </w:pPr>
      <w:r>
        <w:rPr>
          <w:rFonts w:ascii="Arial" w:cs="Arial" w:eastAsia="Arial" w:hAnsi="Arial"/>
          <w:sz w:val="24"/>
          <w:szCs w:val="24"/>
        </w:rPr>
        <w:t xml:space="preserve">При этом в соответствии с разъяснением общего порядка № 35 к </w:t>
      </w:r>
      <w:r>
        <w:rPr>
          <w:rFonts w:ascii="Arial" w:cs="Arial" w:eastAsia="Arial" w:hAnsi="Arial"/>
          <w:sz w:val="24"/>
          <w:szCs w:val="24"/>
        </w:rPr>
        <w:t xml:space="preserve">статье 9</w:t>
      </w:r>
      <w:r>
        <w:rPr>
          <w:rFonts w:ascii="Arial" w:cs="Arial" w:eastAsia="Arial" w:hAnsi="Arial"/>
          <w:sz w:val="24"/>
          <w:szCs w:val="24"/>
        </w:rPr>
        <w:t xml:space="preserve"> Международного пакта о гражданских и политических правах, свобода человека - это физическая свобода действий человека без принуждения. Личная неприкосновенность - это свобода от причинения физических и психических повреждений, или физическая и психическая безопасность.</w:t>
      </w:r>
    </w:p>
    <w:p>
      <w:pPr>
        <w:spacing w:after="60"/>
        <w:ind w:firstLine="567"/>
        <w:jc w:val="both"/>
      </w:pPr>
      <w:r>
        <w:rPr>
          <w:rFonts w:ascii="Arial" w:cs="Arial" w:eastAsia="Arial" w:hAnsi="Arial"/>
          <w:sz w:val="24"/>
          <w:szCs w:val="24"/>
        </w:rPr>
        <w:t xml:space="preserve">Кроме этого, Жорокулов М.М. в своем обращении приводит правовые позиции, изложенные в Решениях Конституционной палаты Верховного суда Кыргызской Республики от </w:t>
      </w:r>
      <w:hyperlink w:history="1" r:id="rIdzdvlyhcorzux0z8ty0n7a">
        <w:r>
          <w:rPr>
            <w:rFonts w:ascii="Arial" w:cs="Arial" w:eastAsia="Arial" w:hAnsi="Arial"/>
            <w:color w:val="1D4ED8"/>
            <w:sz w:val="24"/>
            <w:szCs w:val="24"/>
            <w:u w:val="single"/>
          </w:rPr>
          <w:t xml:space="preserve">11 сентября 2019 года</w:t>
        </w:r>
      </w:hyperlink>
      <w:r>
        <w:rPr>
          <w:rFonts w:ascii="Arial" w:cs="Arial" w:eastAsia="Arial" w:hAnsi="Arial"/>
          <w:sz w:val="24"/>
          <w:szCs w:val="24"/>
        </w:rPr>
        <w:t xml:space="preserve">, </w:t>
      </w:r>
      <w:hyperlink w:history="1" r:id="rIdorwes5fhtr75ezjgb5f9q">
        <w:r>
          <w:rPr>
            <w:rFonts w:ascii="Arial" w:cs="Arial" w:eastAsia="Arial" w:hAnsi="Arial"/>
            <w:color w:val="1D4ED8"/>
            <w:sz w:val="24"/>
            <w:szCs w:val="24"/>
            <w:u w:val="single"/>
          </w:rPr>
          <w:t xml:space="preserve">18 марта 2020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которыми, провозглашенное в </w:t>
      </w:r>
      <w:hyperlink w:history="1" r:id="rIdbiaqfte19c4exv2smalc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положение о том, что каждому гарантируется судебная защита прав и свобод, включает в себя, по меньшей мере, две составляющие: во-первых, обязанность государства обеспечить судебное разбирательство по требованию каждого и разрешение в рамках такого разбирательства спора по существу, согласно действующему законодательству, во-вторых, судебная защита осуществляется тогда, когда законное право или интерес уже нарушены, то есть не как гарантия предотвращения возможных правонарушений, а как восстановление нарушенного права.</w:t>
      </w:r>
    </w:p>
    <w:p>
      <w:pPr>
        <w:spacing w:after="60"/>
        <w:ind w:firstLine="567"/>
        <w:jc w:val="both"/>
      </w:pPr>
      <w:r>
        <w:rPr>
          <w:rFonts w:ascii="Arial" w:cs="Arial" w:eastAsia="Arial" w:hAnsi="Arial"/>
          <w:sz w:val="24"/>
          <w:szCs w:val="24"/>
        </w:rPr>
        <w:t xml:space="preserve">Право на судебную защиту, являясь абсолютным по своей природе в силу требований </w:t>
      </w:r>
      <w:hyperlink w:history="1" r:id="rIdmdbdgys_3_9274ducavl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требует от государства безоговорочной реализации этой гарантии в процессе своей законотворческой деятельности. Исходя из этого, по мнению Жорокулова М.М., преступник, посягнувший на свободу любого человека проживающего на территории Кыргызской Республики путем похищения, должен понести законное наказание, тем самым реализуются право на судебную защиту, правосудие.</w:t>
      </w:r>
    </w:p>
    <w:p>
      <w:pPr>
        <w:spacing w:after="60"/>
        <w:ind w:firstLine="567"/>
        <w:jc w:val="both"/>
      </w:pPr>
      <w:r>
        <w:rPr>
          <w:rFonts w:ascii="Arial" w:cs="Arial" w:eastAsia="Arial" w:hAnsi="Arial"/>
          <w:sz w:val="24"/>
          <w:szCs w:val="24"/>
        </w:rPr>
        <w:t xml:space="preserve">На основании вышеизложенных доводов, субъект обращения просит признать оспариваемую норму </w:t>
      </w:r>
      <w:r>
        <w:rPr>
          <w:rFonts w:ascii="Arial" w:cs="Arial" w:eastAsia="Arial" w:hAnsi="Arial"/>
          <w:sz w:val="24"/>
          <w:szCs w:val="24"/>
        </w:rPr>
        <w:t xml:space="preserve">УК</w:t>
      </w:r>
      <w:r>
        <w:rPr>
          <w:rFonts w:ascii="Arial" w:cs="Arial" w:eastAsia="Arial" w:hAnsi="Arial"/>
          <w:sz w:val="24"/>
          <w:szCs w:val="24"/>
        </w:rPr>
        <w:t xml:space="preserve"> не конституционной.</w:t>
      </w:r>
    </w:p>
    <w:p>
      <w:pPr>
        <w:spacing w:after="60"/>
        <w:ind w:firstLine="567"/>
        <w:jc w:val="both"/>
      </w:pPr>
      <w:r>
        <w:rPr>
          <w:rFonts w:ascii="Arial" w:cs="Arial" w:eastAsia="Arial" w:hAnsi="Arial"/>
          <w:sz w:val="24"/>
          <w:szCs w:val="24"/>
        </w:rPr>
        <w:t xml:space="preserve">Данное обращение было принято к производству определением коллегии судей Конституционной палаты Верховного суда Кыргызской Республики от 14 сентября 2020 года.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15 сентября 2020 года поступило ходатайство Кочкорова Н.У. о признании противоречащим примечания </w:t>
      </w:r>
      <w:hyperlink w:history="1" r:id="rIdnojlawooakfflaxyfkcdl">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пункту 8 части 5 </w:t>
      </w:r>
      <w:hyperlink w:history="1" r:id="rIdvqywiqhnrbcd1gf7kpmxk">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4qwqhgnqso9prjyfknqfn">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mryrb20xkyg4i5nisgx9-">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Кочкоров Н.У. в обоснование своих требований привел аналогичные аргументы, которые приведены в обращении Жорокулов М.М.</w:t>
      </w:r>
    </w:p>
    <w:p>
      <w:pPr>
        <w:spacing w:after="60"/>
        <w:ind w:firstLine="567"/>
        <w:jc w:val="both"/>
      </w:pPr>
      <w:r>
        <w:rPr>
          <w:rFonts w:ascii="Arial" w:cs="Arial" w:eastAsia="Arial" w:hAnsi="Arial"/>
          <w:sz w:val="24"/>
          <w:szCs w:val="24"/>
        </w:rPr>
        <w:t xml:space="preserve">Вышеуказанное обращение было принято к производству определением коллегии судей Конституционной палаты Верховного суда Кыргызской Республики от 14 октября 2020 года.</w:t>
      </w:r>
    </w:p>
    <w:p>
      <w:pPr>
        <w:spacing w:after="60"/>
        <w:ind w:firstLine="567"/>
        <w:jc w:val="both"/>
      </w:pPr>
      <w:r>
        <w:rPr>
          <w:rFonts w:ascii="Arial" w:cs="Arial" w:eastAsia="Arial" w:hAnsi="Arial"/>
          <w:sz w:val="24"/>
          <w:szCs w:val="24"/>
        </w:rPr>
        <w:t xml:space="preserve">В связи с тем, что требования Жорокулова М.М. и Кочкорова Н.У. находятся во взаимосвязи между собой, в соответствии с пунктом 6 части 1 </w:t>
      </w:r>
      <w:hyperlink w:history="1" r:id="rIdbuklojzdduo3wqtjvbp82">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обозначенные обращения определением судьи-докладчика Конституционной палаты Верховного суда Кыргызской Республики от 19 октября 2020 года были объединены в одно конституционное судопроизводство.</w:t>
      </w:r>
    </w:p>
    <w:p>
      <w:pPr>
        <w:spacing w:after="60"/>
        <w:ind w:firstLine="567"/>
        <w:jc w:val="both"/>
      </w:pPr>
      <w:r>
        <w:rPr>
          <w:rFonts w:ascii="Arial" w:cs="Arial" w:eastAsia="Arial" w:hAnsi="Arial"/>
          <w:sz w:val="24"/>
          <w:szCs w:val="24"/>
        </w:rPr>
        <w:t xml:space="preserve">Жорокулов М.М. и Кочкоров Н.У. на судебном заседании поддержали свои требования и просили их удовлетворить.</w:t>
      </w:r>
    </w:p>
    <w:p>
      <w:pPr>
        <w:spacing w:after="60"/>
        <w:ind w:firstLine="567"/>
        <w:jc w:val="both"/>
      </w:pPr>
      <w:r>
        <w:rPr>
          <w:rFonts w:ascii="Arial" w:cs="Arial" w:eastAsia="Arial" w:hAnsi="Arial"/>
          <w:sz w:val="24"/>
          <w:szCs w:val="24"/>
        </w:rPr>
        <w:t xml:space="preserve">Представитель стороны-ответчика считает, что ходатайства заявителей необходимо оставить без удовлетворения по следующим причинам.</w:t>
      </w:r>
    </w:p>
    <w:p>
      <w:pPr>
        <w:spacing w:after="60"/>
        <w:ind w:firstLine="567"/>
        <w:jc w:val="both"/>
      </w:pPr>
      <w:r>
        <w:rPr>
          <w:rFonts w:ascii="Arial" w:cs="Arial" w:eastAsia="Arial" w:hAnsi="Arial"/>
          <w:sz w:val="24"/>
          <w:szCs w:val="24"/>
        </w:rPr>
        <w:t xml:space="preserve">Целью УК является защита прав и свобод личности, безопасности общества, государства и человечества от преступных посягательств, а также восстановление нарушенной справедливости от преступных последствий. Обозначенный Кодекс в качестве высшей социальной ценности обеспечивает защиту неприкосновенности и безопасности личности, его жизни и здоровья, чести и достоинства.</w:t>
      </w:r>
    </w:p>
    <w:p>
      <w:pPr>
        <w:spacing w:after="60"/>
        <w:ind w:firstLine="567"/>
        <w:jc w:val="both"/>
      </w:pPr>
      <w:r>
        <w:rPr>
          <w:rFonts w:ascii="Arial" w:cs="Arial" w:eastAsia="Arial" w:hAnsi="Arial"/>
          <w:sz w:val="24"/>
          <w:szCs w:val="24"/>
        </w:rPr>
        <w:t xml:space="preserve">По мнению Арзиева М.И. оспариваемая норма не может нарушать права и свободы детей, поскольку частью 5 </w:t>
      </w:r>
      <w:hyperlink w:history="1" r:id="rIdznb3jsp6rghzpvaebkdpp">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закреплены наилучшие принципы обеспечения наилучших интересов ребенка, и государство взяло обязательства на себя по обеспечению интересов ребенка. В целях реализации обозначенного принципа 10 июля 2012 года был принят </w:t>
      </w:r>
      <w:hyperlink w:history="1" r:id="rIddezq3kc-cx4kk1xdtqvq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w:t>
      </w:r>
      <w:hyperlink w:history="1" r:id="rId3gzdsbmwkwlth_huizy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устанавливает основные гарантии прав и законных интересов детей, предусмотренных </w:t>
      </w:r>
      <w:hyperlink w:history="1" r:id="rIdvbhpgiyrdhg3h3szsput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60"/>
        <w:ind w:firstLine="567"/>
        <w:jc w:val="both"/>
      </w:pPr>
      <w:r>
        <w:rPr>
          <w:rFonts w:ascii="Arial" w:cs="Arial" w:eastAsia="Arial" w:hAnsi="Arial"/>
          <w:sz w:val="24"/>
          <w:szCs w:val="24"/>
        </w:rPr>
        <w:t xml:space="preserve">Также по мнению представителя стороны-ответчика, оспариваемая норма не нарушает право каждого на судебную защиту, свободу и личную неприкосновенность. Никто не может быть лишен свободы кроме случаев, предусмотренных Законом, где предусмотрены основания и порядок. Все действия, покушающиеся на свободу и личную неприкосновенность, могут быть обжалованы в суде.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Всеобщей декларации прав человека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60"/>
        <w:ind w:firstLine="567"/>
        <w:jc w:val="both"/>
      </w:pPr>
      <w:r>
        <w:rPr>
          <w:rFonts w:ascii="Arial" w:cs="Arial" w:eastAsia="Arial" w:hAnsi="Arial"/>
          <w:sz w:val="24"/>
          <w:szCs w:val="24"/>
        </w:rPr>
        <w:t xml:space="preserve">На основании вышеизложенного Арзиев М.И. просит оставить ходатайства обращающихся без удовлетворения.</w:t>
      </w:r>
    </w:p>
    <w:p>
      <w:pPr>
        <w:spacing w:after="60"/>
        <w:ind w:firstLine="567"/>
        <w:jc w:val="both"/>
      </w:pPr>
      <w:r>
        <w:rPr>
          <w:rFonts w:ascii="Arial" w:cs="Arial" w:eastAsia="Arial" w:hAnsi="Arial"/>
          <w:sz w:val="24"/>
          <w:szCs w:val="24"/>
        </w:rPr>
        <w:t xml:space="preserve">Второй представитель стороны-ответчика Жусубакунов М.У. поддержал доводы Арзиева М.И., кроме этого, добавил, что оспариваемая норма, в первую очередь, была введена законодателем в целях сохранения жизни похищенного человека, сокращения судимости населения и также просил оставить ходатайства без удовлетворения.</w:t>
      </w:r>
    </w:p>
    <w:p>
      <w:pPr>
        <w:spacing w:after="60"/>
        <w:ind w:firstLine="567"/>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Жусупов М.К. озвучил следующее мнение по оспариваемой норме.</w:t>
      </w:r>
    </w:p>
    <w:p>
      <w:pPr>
        <w:spacing w:after="60"/>
        <w:ind w:firstLine="567"/>
        <w:jc w:val="both"/>
      </w:pPr>
      <w:r>
        <w:rPr>
          <w:rFonts w:ascii="Arial" w:cs="Arial" w:eastAsia="Arial" w:hAnsi="Arial"/>
          <w:sz w:val="24"/>
          <w:szCs w:val="24"/>
        </w:rPr>
        <w:t xml:space="preserve">Частью 3 </w:t>
      </w:r>
      <w:hyperlink w:history="1" r:id="rIdnd470esdu0srkn4kkhpcm">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деяния, предусмотренные частью 1 или пунктами 1-5 части 2 настоящей статьи, если виновный добровольно освободил похищенного человека по истечении 72 часов, наказываются общественными работами IV категории или исправительными работами III категории, или штрафом IV категории. Соответственно, лицо, похитившее человека привлекается к уголовной ответственности и получает наказание, все действия покушения на свободу и личную неприкосновенность можно обжаловать в суде.</w:t>
      </w:r>
    </w:p>
    <w:p>
      <w:pPr>
        <w:spacing w:after="60"/>
        <w:ind w:firstLine="567"/>
        <w:jc w:val="both"/>
      </w:pPr>
      <w:r>
        <w:rPr>
          <w:rFonts w:ascii="Arial" w:cs="Arial" w:eastAsia="Arial" w:hAnsi="Arial"/>
          <w:sz w:val="24"/>
          <w:szCs w:val="24"/>
        </w:rPr>
        <w:t xml:space="preserve">По мнению Жусупова М.К., в других статьях </w:t>
      </w:r>
      <w:r>
        <w:rPr>
          <w:rFonts w:ascii="Arial" w:cs="Arial" w:eastAsia="Arial" w:hAnsi="Arial"/>
          <w:sz w:val="24"/>
          <w:szCs w:val="24"/>
        </w:rPr>
        <w:t xml:space="preserve">обозначенного Кодекса право обращения в суд похищенного лица и его законного представителя сохраняются за ними. Поскольку, лицо, осуществившее похищение человека привлекается к ответственности в соответствие с УК, если в период похищения человека </w:t>
      </w:r>
      <w:r>
        <w:rPr>
          <w:rFonts w:ascii="Arial" w:cs="Arial" w:eastAsia="Arial" w:hAnsi="Arial"/>
          <w:sz w:val="24"/>
          <w:szCs w:val="24"/>
        </w:rPr>
        <w:t xml:space="preserve">его действия сопровождались какими-либо другими преступными деяниями.</w:t>
      </w:r>
    </w:p>
    <w:p>
      <w:pPr>
        <w:spacing w:after="60"/>
        <w:ind w:firstLine="567"/>
        <w:jc w:val="both"/>
      </w:pPr>
      <w:r>
        <w:rPr>
          <w:rFonts w:ascii="Arial" w:cs="Arial" w:eastAsia="Arial" w:hAnsi="Arial"/>
          <w:sz w:val="24"/>
          <w:szCs w:val="24"/>
        </w:rPr>
        <w:t xml:space="preserve">Кроме этого, Жусупов М.К. в обоснование своих доводов привел пункты 1, 2, 3 </w:t>
      </w:r>
      <w:hyperlink w:history="1" r:id="rIdnedasoq8dawyu2kyymhus">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и отметил об отсутствии 72 часового ограничения в уголовном законодательстве соседних стран.</w:t>
      </w:r>
    </w:p>
    <w:p>
      <w:pPr>
        <w:spacing w:after="60"/>
        <w:ind w:firstLine="567"/>
        <w:jc w:val="both"/>
      </w:pPr>
      <w:r>
        <w:rPr>
          <w:rFonts w:ascii="Arial" w:cs="Arial" w:eastAsia="Arial" w:hAnsi="Arial"/>
          <w:sz w:val="24"/>
          <w:szCs w:val="24"/>
        </w:rPr>
        <w:t xml:space="preserve">На основании вышеизложенного, Жусупов М.К. выразил мнение о том, что предусмотренные частью 1 и пунктами 1-5 части 2 </w:t>
      </w:r>
      <w:hyperlink w:history="1" r:id="rId_5dtfgo-dms0r5cwym3go">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деяния противоречат пунктам 1, 2 </w:t>
      </w:r>
      <w:hyperlink w:history="1" r:id="rIdnnpek3lzq75zgmdzcsihm">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Искаков Э.Б. считает, что доводы обращающейся стороны безосновательны и выразил следующее мнение.</w:t>
      </w:r>
    </w:p>
    <w:p>
      <w:pPr>
        <w:spacing w:after="60"/>
        <w:ind w:firstLine="567"/>
        <w:jc w:val="both"/>
      </w:pPr>
      <w:r>
        <w:rPr>
          <w:rFonts w:ascii="Arial" w:cs="Arial" w:eastAsia="Arial" w:hAnsi="Arial"/>
          <w:sz w:val="24"/>
          <w:szCs w:val="24"/>
        </w:rPr>
        <w:t xml:space="preserve">По мнению Искакова Э.Б., научные тенденции современной уголовной науки - это поиск возможностей урегулирования конфликта, появившегося в результате совершения преступления, в то же время в целях специального предупреждения, примером такого инструмента является уголовно-правовой компромисс.</w:t>
      </w:r>
    </w:p>
    <w:p>
      <w:pPr>
        <w:spacing w:after="60"/>
        <w:ind w:firstLine="567"/>
        <w:jc w:val="both"/>
      </w:pPr>
      <w:r>
        <w:rPr>
          <w:rFonts w:ascii="Arial" w:cs="Arial" w:eastAsia="Arial" w:hAnsi="Arial"/>
          <w:sz w:val="24"/>
          <w:szCs w:val="24"/>
        </w:rPr>
        <w:t xml:space="preserve">В тоже время, примечание, предусмотренное в </w:t>
      </w:r>
      <w:hyperlink w:history="1" r:id="rIdisddbnwwtqe48-yw-c4ki">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не всегда применяется на все преступные деяния, которые содержатся в указанной статье. Специальные правила освобождения от уголовной ответственности могут применяться только когда имеют нижеследующие предпосылки.</w:t>
      </w:r>
    </w:p>
    <w:p>
      <w:pPr>
        <w:spacing w:after="60"/>
        <w:ind w:firstLine="567"/>
        <w:jc w:val="both"/>
      </w:pPr>
      <w:r>
        <w:rPr>
          <w:rFonts w:ascii="Arial" w:cs="Arial" w:eastAsia="Arial" w:hAnsi="Arial"/>
          <w:sz w:val="24"/>
          <w:szCs w:val="24"/>
        </w:rPr>
        <w:t xml:space="preserve">Во-первых, в результате чистосердечного раскаяния субъект преступления должен добровольно освободить похищенное лицо. В этом случае законодателем высоко оценивается жизнь и здоровье потерпевшего лица, рекомендуется освободить лицо от уголовной ответственности, чтобы не привести к еще более серьезным последствиям. Во-вторых, в деянии субъекта преступления условием является необходимость определением отсутствия состава другого преступления. Дополнительным обстоятельством к этому делу является добровольное освобождение похищенного лица с момента похищения в течение 72 часов. Срок похищения может показать уровень общественной опасности и добровольное желание преступника незамедлительно исправить ущерб полученных в результате его действий.</w:t>
      </w:r>
    </w:p>
    <w:p>
      <w:pPr>
        <w:spacing w:after="60"/>
        <w:ind w:firstLine="567"/>
        <w:jc w:val="both"/>
      </w:pPr>
      <w:r>
        <w:rPr>
          <w:rFonts w:ascii="Arial" w:cs="Arial" w:eastAsia="Arial" w:hAnsi="Arial"/>
          <w:sz w:val="24"/>
          <w:szCs w:val="24"/>
        </w:rPr>
        <w:t xml:space="preserve">Основная концепция уголовного законодательства Кыргызской Республики - это гуманизация, рассматриваемое же примечание </w:t>
      </w:r>
      <w:hyperlink w:history="1" r:id="rIdgfksaa2qmvnysbvrnngc0">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во-первых, является мерой направленной на предупреждение совершения другого преступного деяния виновным в отношении потерпевшего, сокращение судимости населения и ресоциализации виновного.</w:t>
      </w:r>
    </w:p>
    <w:p>
      <w:pPr>
        <w:spacing w:after="60"/>
        <w:ind w:firstLine="567"/>
        <w:jc w:val="both"/>
      </w:pPr>
      <w:r>
        <w:rPr>
          <w:rFonts w:ascii="Arial" w:cs="Arial" w:eastAsia="Arial" w:hAnsi="Arial"/>
          <w:sz w:val="24"/>
          <w:szCs w:val="24"/>
        </w:rPr>
        <w:t xml:space="preserve">Действующее уголовное законодательство Кыргызской Республики является результатом многолетнего труда в рамках судебно-правовой реформы, при принятии его было принято во внимание, что свобода человека - одна из наиболее социальных ценностей для каждого человека и в соответствии со </w:t>
      </w:r>
      <w:hyperlink w:history="1" r:id="rIdx_clmk1wxe5h62wmj55zd">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Конституции Кыргызской Республики права и свободы человека высшая ценность, и в основном направлена на гуманизацию законодательства.</w:t>
      </w:r>
    </w:p>
    <w:p>
      <w:pPr>
        <w:spacing w:after="60"/>
        <w:ind w:firstLine="567"/>
        <w:jc w:val="both"/>
      </w:pPr>
      <w:r>
        <w:rPr>
          <w:rFonts w:ascii="Arial" w:cs="Arial" w:eastAsia="Arial" w:hAnsi="Arial"/>
          <w:sz w:val="24"/>
          <w:szCs w:val="24"/>
        </w:rPr>
        <w:t xml:space="preserve">Принцип гуманизма уголовного законодательства как много аспектное явление работает как цивилизованный общественный принцип устанавливающий подход как к себе самому, так и к другим на основе норм построения отношение между человеком, обществом и государством, и морали.</w:t>
      </w:r>
    </w:p>
    <w:p>
      <w:pPr>
        <w:spacing w:after="60"/>
        <w:ind w:firstLine="567"/>
        <w:jc w:val="both"/>
      </w:pPr>
      <w:r>
        <w:rPr>
          <w:rFonts w:ascii="Arial" w:cs="Arial" w:eastAsia="Arial" w:hAnsi="Arial"/>
          <w:sz w:val="24"/>
          <w:szCs w:val="24"/>
        </w:rPr>
        <w:t xml:space="preserve">Принцип гуманизма основан на признании ценности активной, глубокой личности имеющей право на жизнь, всестороннюю и гармоничную реализацию своих возможностей.</w:t>
      </w:r>
    </w:p>
    <w:p>
      <w:pPr>
        <w:spacing w:after="60"/>
        <w:ind w:firstLine="567"/>
        <w:jc w:val="both"/>
      </w:pPr>
      <w:r>
        <w:rPr>
          <w:rFonts w:ascii="Arial" w:cs="Arial" w:eastAsia="Arial" w:hAnsi="Arial"/>
          <w:sz w:val="24"/>
          <w:szCs w:val="24"/>
        </w:rPr>
        <w:t xml:space="preserve">В соответствии со </w:t>
      </w:r>
      <w:hyperlink w:history="1" r:id="rIdp7rqzmtigel2z3tsxr1l-">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УК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w:t>
      </w:r>
      <w:hyperlink w:history="1" r:id="rIdj9sl2xdnkdc5fg4onnbd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ограничении прав и свобод осужденного, возложении на него определенных обязанностей.</w:t>
      </w:r>
    </w:p>
    <w:p>
      <w:pPr>
        <w:spacing w:after="60"/>
        <w:ind w:firstLine="567"/>
        <w:jc w:val="both"/>
      </w:pPr>
      <w:r>
        <w:rPr>
          <w:rFonts w:ascii="Arial" w:cs="Arial" w:eastAsia="Arial" w:hAnsi="Arial"/>
          <w:sz w:val="24"/>
          <w:szCs w:val="24"/>
        </w:rPr>
        <w:t xml:space="preserve">Целью наказания является исправление виновного и ресоциализация, профилактика новых преступлений, восстановление социальной справедливости.</w:t>
      </w:r>
    </w:p>
    <w:p>
      <w:pPr>
        <w:spacing w:after="60"/>
        <w:ind w:firstLine="567"/>
        <w:jc w:val="both"/>
      </w:pPr>
      <w:r>
        <w:rPr>
          <w:rFonts w:ascii="Arial" w:cs="Arial" w:eastAsia="Arial" w:hAnsi="Arial"/>
          <w:sz w:val="24"/>
          <w:szCs w:val="24"/>
        </w:rPr>
        <w:t xml:space="preserve">Законодательный орган в соответствии с нормами </w:t>
      </w:r>
      <w:hyperlink w:history="1" r:id="rId0ilvvtalnum4jvtssvy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принимая во внимание, что права и свободы являются высшими ценностями Кыргызской Республики, каждый имеет право на свободу и неприкосновенность, обосновано ввел примечание </w:t>
      </w:r>
      <w:hyperlink w:history="1" r:id="rIdapyqqyr1fpy6j9mgkjy7x">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w:t>
      </w:r>
    </w:p>
    <w:p>
      <w:pPr>
        <w:spacing w:after="60"/>
        <w:ind w:firstLine="567"/>
        <w:jc w:val="both"/>
      </w:pPr>
      <w:r>
        <w:rPr>
          <w:rFonts w:ascii="Arial" w:cs="Arial" w:eastAsia="Arial" w:hAnsi="Arial"/>
          <w:sz w:val="24"/>
          <w:szCs w:val="24"/>
        </w:rPr>
        <w:t xml:space="preserve">На основании вышеизложенного, Искаков Э.Б. выражает мнение о том, что законодатель при принятии оспариваемой нормы исходил из признания превосходства общечеловеческих ценностей как основного его значения, в первую очередь, устанавливая необходимость возвращения украденного человека живым и здоровым, и только после этого уделяет внимание наказанию человека совершившего данное преступление, в связи с чем оспариваемая норма не противоречит </w:t>
      </w:r>
      <w:hyperlink w:history="1" r:id="rIdfnvdrvwdznoqqpjtxr5m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Представитель генеральной прокуратуры Кыргызской Республики Конкубаева У.У., по доверенности, представитель Министерства юстиции Кыргызской Республики Курманбаева А.М., по доверенности, представитель Министерства внутренних дел Кыргызской Республики Ашырбеков Э.А., по доверенности также не согласны с доводами обращающейся стороны, и привели аргументы аналогичные аргументам представителя Верховного суда Кыргызской Республики Искакова Э.Б.</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объяснения иных лиц и изучив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hyperlink w:history="1" r:id="rId7t1mobuhdznldhetpysoa">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примечание </w:t>
      </w:r>
      <w:hyperlink w:history="1" r:id="rId7mco3x4r3ygvst0ifxvip">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выраженное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изложенное в следующей редакции:</w:t>
      </w:r>
    </w:p>
    <w:p>
      <w:pPr>
        <w:spacing w:after="60"/>
        <w:ind w:firstLine="567"/>
        <w:jc w:val="both"/>
      </w:pPr>
      <w:r>
        <w:rPr>
          <w:rFonts w:ascii="Arial" w:cs="Arial" w:eastAsia="Arial" w:hAnsi="Arial"/>
          <w:sz w:val="24"/>
          <w:szCs w:val="24"/>
        </w:rPr>
        <w:t xml:space="preserve">"</w:t>
      </w:r>
      <w:hyperlink w:history="1" r:id="rIdcf7bpdrauzxvgkutb0qp7">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Похищение человека</w:t>
      </w:r>
    </w:p>
    <w:p>
      <w:pPr>
        <w:spacing w:after="60"/>
        <w:ind w:firstLine="567"/>
        <w:jc w:val="both"/>
      </w:pPr>
      <w:r>
        <w:rPr>
          <w:rFonts w:ascii="Arial" w:cs="Arial" w:eastAsia="Arial" w:hAnsi="Arial"/>
          <w:sz w:val="24"/>
          <w:szCs w:val="24"/>
        </w:rPr>
        <w:t xml:space="preserve">Примечание.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Уголовный </w:t>
      </w:r>
      <w:hyperlink w:history="1" r:id="rIdrkj9uifzokbmlfgy4prp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"Эркин-Тоо" 10 февраля 2017 года № 19-20,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Согласно </w:t>
      </w:r>
      <w:hyperlink w:history="1" r:id="rIdy-owhxisk_h0kvvjd_bw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gvgcgupmked5kseigpbd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w:t>
      </w:r>
      <w:r>
        <w:rPr>
          <w:rFonts w:ascii="Arial" w:cs="Arial" w:eastAsia="Arial" w:hAnsi="Arial"/>
          <w:sz w:val="24"/>
          <w:szCs w:val="24"/>
        </w:rPr>
        <w:t xml:space="preserve">статьи 40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Из рассматриваемой конституционной нормы, которая корреспондируется с положениями международно-правовых актов, в частности, статьями 8, 29 Всеобщей декларации прав человека, а также статьями 2 (пункт 2 и подпункт "а" пункта 3), 14 (пункт 1) </w:t>
      </w:r>
      <w:r>
        <w:rPr>
          <w:rFonts w:ascii="Arial" w:cs="Arial" w:eastAsia="Arial" w:hAnsi="Arial"/>
          <w:sz w:val="24"/>
          <w:szCs w:val="24"/>
        </w:rPr>
        <w:t xml:space="preserve">Международного пакта </w:t>
      </w:r>
      <w:r>
        <w:rPr>
          <w:rFonts w:ascii="Arial" w:cs="Arial" w:eastAsia="Arial" w:hAnsi="Arial"/>
          <w:sz w:val="24"/>
          <w:szCs w:val="24"/>
        </w:rPr>
        <w:t xml:space="preserve">о гражданских и политических правах, следует, что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60"/>
        <w:ind w:firstLine="567"/>
        <w:jc w:val="both"/>
      </w:pPr>
      <w:r>
        <w:rPr>
          <w:rFonts w:ascii="Arial" w:cs="Arial" w:eastAsia="Arial" w:hAnsi="Arial"/>
          <w:sz w:val="24"/>
          <w:szCs w:val="24"/>
        </w:rPr>
        <w:t xml:space="preserve">Право на судебную защиту является одним из основополагающих и неотъемлемых прав человека и относится к числу прав, которые не подлежат ограничению (пункт 8 части 5 </w:t>
      </w:r>
      <w:hyperlink w:history="1" r:id="rIdkze7oy-9axfbj3ajlwccm">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Иначе говоря, ограничение этого права ни при каких условиях не может быть обусловлено необходимостью достижения признаваемых </w:t>
      </w:r>
      <w:hyperlink w:history="1" r:id="rIdwffoz9owafl9c1rjbnmy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целей и выступает в качестве гарантии всех остальных прав и свобод человека и гражданина.</w:t>
      </w:r>
    </w:p>
    <w:p>
      <w:pPr>
        <w:spacing w:after="60"/>
        <w:ind w:firstLine="567"/>
        <w:jc w:val="both"/>
      </w:pPr>
      <w:r>
        <w:rPr>
          <w:rFonts w:ascii="Arial" w:cs="Arial" w:eastAsia="Arial" w:hAnsi="Arial"/>
          <w:sz w:val="24"/>
          <w:szCs w:val="24"/>
        </w:rPr>
        <w:t xml:space="preserve">Судебная защита - это, прежде всего, право на правосудие, право на предсказуемую и справедливую правовую среду в обществе. Одними из неотъемлемых элементов института судебной защиты являются принцип неотвратимости уголовной ответственности и принцип справедливого возмездия (талиона).</w:t>
      </w:r>
    </w:p>
    <w:p>
      <w:pPr>
        <w:spacing w:after="60"/>
        <w:ind w:firstLine="567"/>
        <w:jc w:val="both"/>
      </w:pPr>
      <w:r>
        <w:rPr>
          <w:rFonts w:ascii="Arial" w:cs="Arial" w:eastAsia="Arial" w:hAnsi="Arial"/>
          <w:sz w:val="24"/>
          <w:szCs w:val="24"/>
        </w:rPr>
        <w:t xml:space="preserve">Несмотря на необходимость построения современной карательной системы на основе гуманизма, наказание по-прежнему рассматривается в качестве справедливого возмездия за причиненное зло. Основной принцип права - принцип справедливости также подразумевает эквивалентность в построении человеческих взаимоотношений.</w:t>
      </w:r>
    </w:p>
    <w:p>
      <w:pPr>
        <w:spacing w:after="60"/>
        <w:ind w:firstLine="567"/>
        <w:jc w:val="both"/>
      </w:pPr>
      <w:r>
        <w:rPr>
          <w:rFonts w:ascii="Arial" w:cs="Arial" w:eastAsia="Arial" w:hAnsi="Arial"/>
          <w:sz w:val="24"/>
          <w:szCs w:val="24"/>
        </w:rPr>
        <w:t xml:space="preserve">Таким образом, возмездие, как справедливое воздаяние за содеянное, является неотъемлемой частью уголовного наказания.</w:t>
      </w:r>
    </w:p>
    <w:p>
      <w:pPr>
        <w:spacing w:after="60"/>
        <w:ind w:firstLine="567"/>
        <w:jc w:val="both"/>
      </w:pPr>
      <w:r>
        <w:rPr>
          <w:rFonts w:ascii="Arial" w:cs="Arial" w:eastAsia="Arial" w:hAnsi="Arial"/>
          <w:sz w:val="24"/>
          <w:szCs w:val="24"/>
        </w:rPr>
        <w:t xml:space="preserve">3. </w:t>
      </w:r>
      <w:hyperlink w:history="1" r:id="rIdz42qpo0qz6jznn1bvgjr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право на свободу и личную неприкосновенность основополагающим правом человека, которое, исходя из признания государством достоинства личности, предопределяет недопустимость произвольного вмешательства в сферу ее автономии, необходимости создания условий не только для всестороннего развития человека, но и его физической и психической неприкосновенности.</w:t>
      </w:r>
    </w:p>
    <w:p>
      <w:pPr>
        <w:spacing w:after="60"/>
        <w:ind w:firstLine="567"/>
        <w:jc w:val="both"/>
      </w:pPr>
      <w:r>
        <w:rPr>
          <w:rFonts w:ascii="Arial" w:cs="Arial" w:eastAsia="Arial" w:hAnsi="Arial"/>
          <w:sz w:val="24"/>
          <w:szCs w:val="24"/>
        </w:rPr>
        <w:t xml:space="preserve">Свобода и неприкосновенность личности находятся под охраной также уголовного права. Уголовный </w:t>
      </w:r>
      <w:hyperlink w:history="1" r:id="rId_z1fvgyfqbtsf5079spu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УК) устанавливает уголовную ответственность за такие преступления против свободы и неприкосновенности личности, как похищение человека и незаконное лишение свободы.</w:t>
      </w:r>
    </w:p>
    <w:p>
      <w:pPr>
        <w:spacing w:after="60"/>
        <w:ind w:firstLine="567"/>
        <w:jc w:val="both"/>
      </w:pPr>
      <w:r>
        <w:rPr>
          <w:rFonts w:ascii="Arial" w:cs="Arial" w:eastAsia="Arial" w:hAnsi="Arial"/>
          <w:sz w:val="24"/>
          <w:szCs w:val="24"/>
        </w:rPr>
        <w:t xml:space="preserve">Так, </w:t>
      </w:r>
      <w:hyperlink w:history="1" r:id="rIdzea2coihu5dqbvb_ygizk">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УК предусматривает лишение свободы II и III категории за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19o77c2m6-d0d58jkp25j">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УК, совершенное путем захвата, обмана или с применением насилия, не опасного для жизни и здоровья, либо угрозы применения такого насилия.</w:t>
      </w:r>
    </w:p>
    <w:p>
      <w:pPr>
        <w:spacing w:after="60"/>
        <w:ind w:firstLine="567"/>
        <w:jc w:val="both"/>
      </w:pPr>
      <w:r>
        <w:rPr>
          <w:rFonts w:ascii="Arial" w:cs="Arial" w:eastAsia="Arial" w:hAnsi="Arial"/>
          <w:sz w:val="24"/>
          <w:szCs w:val="24"/>
        </w:rPr>
        <w:t xml:space="preserve">Одновременно с этим примечание к </w:t>
      </w:r>
      <w:hyperlink w:history="1" r:id="rIdvhhjt8q7nqubwpws-cqbv">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содержит предписание поощрительного характера при позитивном послепреступном поведении: добровольное освобождение похищенного человека в течение 72 часов с момента похищения является основанием для освобождения виновного от уголовной ответственности, а именно за деяния, предусмотренные частью 1 или пунктами 1-5 части 2 </w:t>
      </w:r>
      <w:hyperlink w:history="1" r:id="rIdvtwa6zd76jcxuvolxkndv">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При этом уголовное законодательство не предусматривает освобождение за другие преступления, сопутствовавшие похищению, - причинение различной степени тяжести вреда здоровью потерпевшего, угон транспортного средства, изнасилование, вымогательство и другие. Под добровольным признается такое освобождение похищенного человека, при котором виновное лицо осознавало, что у него имелась реальная возможность удерживать потерпевшего, но освободило его в течение 72 часов с момента похищения посредством передачи родственникам, представителям власти, указанием на место его нахождения.</w:t>
      </w:r>
    </w:p>
    <w:p>
      <w:pPr>
        <w:spacing w:after="60"/>
        <w:ind w:firstLine="567"/>
        <w:jc w:val="both"/>
      </w:pPr>
      <w:r>
        <w:rPr>
          <w:rFonts w:ascii="Arial" w:cs="Arial" w:eastAsia="Arial" w:hAnsi="Arial"/>
          <w:sz w:val="24"/>
          <w:szCs w:val="24"/>
        </w:rPr>
        <w:t xml:space="preserve">Законодатель при установлении исследуемого порядка преследовал цель, во что бы то ни стало сохранение жизни похищенного человека и его здоровья от тяжкого вреда.</w:t>
      </w:r>
    </w:p>
    <w:p>
      <w:pPr>
        <w:spacing w:after="60"/>
        <w:ind w:firstLine="567"/>
        <w:jc w:val="both"/>
      </w:pPr>
      <w:r>
        <w:rPr>
          <w:rFonts w:ascii="Arial" w:cs="Arial" w:eastAsia="Arial" w:hAnsi="Arial"/>
          <w:sz w:val="24"/>
          <w:szCs w:val="24"/>
        </w:rPr>
        <w:t xml:space="preserve">Право на жизнь является основным, неотъемлемым, естественным личным правом человека, приобретаемым им в силу факта своего рождения (</w:t>
      </w:r>
      <w:r>
        <w:rPr>
          <w:rFonts w:ascii="Arial" w:cs="Arial" w:eastAsia="Arial" w:hAnsi="Arial"/>
          <w:sz w:val="24"/>
          <w:szCs w:val="24"/>
        </w:rPr>
        <w:t xml:space="preserve">статья 21</w:t>
      </w:r>
      <w:r>
        <w:rPr>
          <w:rFonts w:ascii="Arial" w:cs="Arial" w:eastAsia="Arial" w:hAnsi="Arial"/>
          <w:sz w:val="24"/>
          <w:szCs w:val="24"/>
        </w:rPr>
        <w:t xml:space="preserve">). Конституционное содержание этого права состоит в том, что приоритетной задачей государства и всех его органов является обеспечение недопустимости произвольного лишения жизни человека или угрозы такового. В этой связи замысел законодателя при установлении исследуемого порядка очевиден. Спасение жизни и сохранение здоровья человека по своей значимости не сопоставимы с другими задачами государства в сфере организации общественной жизни. Нельзя не согласиться и с тем, что главным фактором, подталкивающим человека, совершившего преступление, к позитивному поведению является наличие льгот при наступлении ответственности и назначении наказания, в случае соблюдения виновным определенных законодательством форм поведения.</w:t>
      </w:r>
    </w:p>
    <w:p>
      <w:pPr>
        <w:spacing w:after="60"/>
        <w:ind w:firstLine="567"/>
        <w:jc w:val="both"/>
      </w:pPr>
      <w:r>
        <w:rPr>
          <w:rFonts w:ascii="Arial" w:cs="Arial" w:eastAsia="Arial" w:hAnsi="Arial"/>
          <w:sz w:val="24"/>
          <w:szCs w:val="24"/>
        </w:rPr>
        <w:t xml:space="preserve">Иными словами, использование законодателем в нормотворческой деятельности таких правовых рычагов допустимо и добровольное освобождение похищенного человека в течение определенного периода времени может восприниматься в качестве особого обстоятельства, способного существенно повлиять на положение виновного.</w:t>
      </w:r>
    </w:p>
    <w:p>
      <w:pPr>
        <w:spacing w:after="60"/>
        <w:ind w:firstLine="567"/>
        <w:jc w:val="both"/>
      </w:pPr>
      <w:r>
        <w:rPr>
          <w:rFonts w:ascii="Arial" w:cs="Arial" w:eastAsia="Arial" w:hAnsi="Arial"/>
          <w:sz w:val="24"/>
          <w:szCs w:val="24"/>
        </w:rPr>
        <w:t xml:space="preserve">Вместе с тем, при выборе того или иного способа правового регулирования законодатель обязан применять те регуляторы, которые позволят достигнуть цели без нарушения конституционных и общеправовых принципов, а также игнорирования законных интересов, как частных, так и публичных.</w:t>
      </w:r>
    </w:p>
    <w:p>
      <w:pPr>
        <w:spacing w:after="60"/>
        <w:ind w:firstLine="567"/>
        <w:jc w:val="both"/>
      </w:pPr>
      <w:r>
        <w:rPr>
          <w:rFonts w:ascii="Arial" w:cs="Arial" w:eastAsia="Arial" w:hAnsi="Arial"/>
          <w:sz w:val="24"/>
          <w:szCs w:val="24"/>
        </w:rPr>
        <w:t xml:space="preserve">Похищение человека характеризуется высокой степенью общественной опасности и расценивается как тяжкое преступление против личности всем мировым сообществом, соответственно, не может подпадать под категорию малозначительных деяний, за которое уголовное наказание может не последовать. Учитывая высокий уровень общественной опасности, похищение человека считается оконченным преступлением с момента захвата и начала его перемещения. В случаях, когда перемещение было осуществлено самим потерпевшим вследствие его обмана или злоупотребления доверием, преступление признается оконченным с момента захвата данного лица и начала принудительного перемещения либо начала его удержания, если лицо более не перемещалось. Следовательно, добровольное освобождение похищенного человека до истечения 72 часов также не может подпадать под добровольный отказ от совершения преступления.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 (</w:t>
      </w:r>
      <w:hyperlink w:history="1" r:id="rIddvkanlghex_2m09ymyhlm">
        <w:r>
          <w:rPr>
            <w:rFonts w:ascii="Arial" w:cs="Arial" w:eastAsia="Arial" w:hAnsi="Arial"/>
            <w:color w:val="1D4ED8"/>
            <w:sz w:val="24"/>
            <w:szCs w:val="24"/>
            <w:u w:val="single"/>
          </w:rPr>
          <w:t xml:space="preserve">статья 40</w:t>
        </w:r>
      </w:hyperlink>
      <w:r>
        <w:rPr>
          <w:rFonts w:ascii="Arial" w:cs="Arial" w:eastAsia="Arial" w:hAnsi="Arial"/>
          <w:sz w:val="24"/>
          <w:szCs w:val="24"/>
        </w:rPr>
        <w:t xml:space="preserve"> УК).</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особо отмечает, что уголовное право преследует следующие основные цели.</w:t>
      </w:r>
    </w:p>
    <w:p>
      <w:pPr>
        <w:spacing w:after="60"/>
        <w:ind w:firstLine="567"/>
        <w:jc w:val="both"/>
      </w:pPr>
      <w:r>
        <w:rPr>
          <w:rFonts w:ascii="Arial" w:cs="Arial" w:eastAsia="Arial" w:hAnsi="Arial"/>
          <w:sz w:val="24"/>
          <w:szCs w:val="24"/>
        </w:rPr>
        <w:t xml:space="preserve">Уголовное право обладает миротворческой функцией. Это означает, что оно уравновешивает потребность индивида и общества в возмездии посредством урегулированного процесса, который является коллективно-организованной общественной реакцией на преступление.</w:t>
      </w:r>
    </w:p>
    <w:p>
      <w:pPr>
        <w:spacing w:after="60"/>
        <w:ind w:firstLine="567"/>
        <w:jc w:val="both"/>
      </w:pPr>
      <w:r>
        <w:rPr>
          <w:rFonts w:ascii="Arial" w:cs="Arial" w:eastAsia="Arial" w:hAnsi="Arial"/>
          <w:sz w:val="24"/>
          <w:szCs w:val="24"/>
        </w:rPr>
        <w:t xml:space="preserve">Уголовное право выполняет ориентировочную функцию, которая заключается в том, что, подвергая преступника уголовному наказанию, обществу демонстрируется нерушимость правопорядка, что, в конечном итоге, ведет к укреплению уровня законопослушания населения. В социальной модели преступности сдерживание является центральным понятием, поскольку потенциальные преступники рационально рассматривают и уравновешивают издержки и выгоды совершения преступления в будущем. Один факт установления санкции за одно конкретное правонарушение существенно влияет на сдерживание от совершения подобных действий.</w:t>
      </w:r>
    </w:p>
    <w:p>
      <w:pPr>
        <w:spacing w:after="60"/>
        <w:ind w:firstLine="567"/>
        <w:jc w:val="both"/>
      </w:pPr>
      <w:r>
        <w:rPr>
          <w:rFonts w:ascii="Arial" w:cs="Arial" w:eastAsia="Arial" w:hAnsi="Arial"/>
          <w:sz w:val="24"/>
          <w:szCs w:val="24"/>
        </w:rPr>
        <w:t xml:space="preserve">При этом, ресоциализация преступника и защита общества от него не относятся к основным целям уголовного права и разрешаются различными по содержанию уголовно-правовыми средствами.</w:t>
      </w:r>
    </w:p>
    <w:p>
      <w:pPr>
        <w:spacing w:after="60"/>
        <w:ind w:firstLine="567"/>
        <w:jc w:val="both"/>
      </w:pPr>
      <w:r>
        <w:rPr>
          <w:rFonts w:ascii="Arial" w:cs="Arial" w:eastAsia="Arial" w:hAnsi="Arial"/>
          <w:sz w:val="24"/>
          <w:szCs w:val="24"/>
        </w:rPr>
        <w:t xml:space="preserve">Провозглашение свободы и неприкосновенности личности означает, прежде всего, неотвратимость ответственности, в том числе уголовной, за нарушение этой конституционной установки, выполняющей как частную, так и публичную функцию. Из этого следует, что в силу вышеуказанного конституционного принципа лицо, добровольно освободившее похищенного человека в течение 72 часов, не может быть полностью освобождено от уголовной ответственности.</w:t>
      </w:r>
    </w:p>
    <w:p>
      <w:pPr>
        <w:spacing w:after="60"/>
        <w:ind w:firstLine="567"/>
        <w:jc w:val="both"/>
      </w:pPr>
      <w:r>
        <w:rPr>
          <w:rFonts w:ascii="Arial" w:cs="Arial" w:eastAsia="Arial" w:hAnsi="Arial"/>
          <w:sz w:val="24"/>
          <w:szCs w:val="24"/>
        </w:rPr>
        <w:t xml:space="preserve">С учетом вышеуказанных обстоятельств, достижение цели оспариваемого примечания допустимо в порядке, не отрицающем вину и не исключающем уголовную ответственность, а посредством установления значительной разницы между законодательными мерами наказания в зависимости от степени позитивности поведения виновного в похищении человека. Подобный подход не только будет отвечать общеправовым принципам, но и позволит исключить стимулирующий похищение человека эффект, содержащийся в оспариваемом примечании в силу допустимости безнаказанности виновного лица. Иными словами, нельзя игнорировать и правом других лиц быть защищенными от этого преступления, что может быть достигнуто лишь неотвратимостью уголовной ответственности.</w:t>
      </w:r>
    </w:p>
    <w:p>
      <w:pPr>
        <w:spacing w:after="60"/>
        <w:ind w:firstLine="567"/>
        <w:jc w:val="both"/>
      </w:pPr>
      <w:r>
        <w:rPr>
          <w:rFonts w:ascii="Arial" w:cs="Arial" w:eastAsia="Arial" w:hAnsi="Arial"/>
          <w:sz w:val="24"/>
          <w:szCs w:val="24"/>
        </w:rPr>
        <w:t xml:space="preserve">Таким образом, оспариваемое примечание к </w:t>
      </w:r>
      <w:hyperlink w:history="1" r:id="rIdme5uttrb-tisn1mt8os5c">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не отвечает конституционным и общеправовым принципам, соответственно, противоречит </w:t>
      </w:r>
      <w:hyperlink w:history="1" r:id="rIdzrxru01rumgum_mrxhvp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рассматриваемом случае Конституционная палата Верховного суда Кыргызской Республики не может ограничиться констатацией факта неконституционности оспариваемого нормативного предписания, поскольку это повлечет серьезный дефект правовой системы в связи с удалением существенного фрагмента правового регулирования, что может привести к тяжелым последствиям в сфере обеспечения прав и свобод человека. В этой связи, до приведения уголовного законодательства в соответствие с настоящим Решением, подлежит применению часть 3 </w:t>
      </w:r>
      <w:hyperlink w:history="1" r:id="rIdnhicv6arnu80ku6cqv_nm">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за исключением слов "по истечении 72 часов".</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ttg46gnzr1i71efgrlvi0">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a2da0j0dj2ludzhxdq0pe">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4drmhoaiytwqdptbqvhz">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1h-kz1c1ng1zuqwyll8rm">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yb3d5wnemijc894s5ny4d">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6ly0vobsnyibfitncalcg">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РЕШИЛА:</w:t>
      </w:r>
    </w:p>
    <w:p>
      <w:pPr>
        <w:spacing w:after="60"/>
        <w:ind w:firstLine="567"/>
        <w:jc w:val="both"/>
      </w:pPr>
      <w:r>
        <w:rPr>
          <w:rFonts w:ascii="Arial" w:cs="Arial" w:eastAsia="Arial" w:hAnsi="Arial"/>
          <w:sz w:val="24"/>
          <w:szCs w:val="24"/>
        </w:rPr>
        <w:t xml:space="preserve">1. Признать примечание </w:t>
      </w:r>
      <w:hyperlink w:history="1" r:id="rId20imlmakr59nsqvbn_am1">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выраженное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противоречащим пункту 8 части 5 </w:t>
      </w:r>
      <w:hyperlink w:history="1" r:id="rIdchrlmucurdfhviewra6y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clgeetqhplojdbfztbcrm">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salvistwsbcgibkuhiji4">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Правительству Кыргызской Республики разработать проект закона включающий соответствующие изменения, исходя из правовой позиции, выраженной в мотивировочной части настоящего Решения и представить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3. До приведения примечания </w:t>
      </w:r>
      <w:hyperlink w:history="1" r:id="rIdfhkxsq3eowzui8k7virja">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 соответствие с настоящим Решением, применению подлежит часть 3 вышеуказанной статьи, за исключением слов "по истечении 72 часов".</w:t>
      </w:r>
    </w:p>
    <w:p>
      <w:pPr>
        <w:spacing w:after="60"/>
        <w:ind w:firstLine="567"/>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60"/>
        <w:ind w:firstLine="567"/>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К.Дуйшеев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Л.Жумабаев</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К.Кыдырбаев</w:t>
      </w:r>
    </w:p>
    <w:p>
      <w:pPr>
        <w:spacing w:after="120"/>
        <w:jc w:val="right"/>
      </w:pP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Ж.Саалаев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mvtus-zey_l8wylec8d">
      <w:r>
        <w:rPr>
          <w:rFonts w:ascii="Arial" w:cs="Arial" w:eastAsia="Arial" w:hAnsi="Arial"/>
          <w:color w:val="132D3F"/>
          <w:sz w:val="16"/>
          <w:szCs w:val="16"/>
          <w:u w:val="single"/>
        </w:rPr>
        <w:t xml:space="preserve">dalil.kg/document/434727</w:t>
      </w:r>
    </w:hyperlink>
  </w:p>
  <w:p>
    <w:pPr>
      <w:spacing w:after="0" w:before="40"/>
      <w:jc w:val="center"/>
    </w:pPr>
    <w:hyperlink w:history="1" r:id="rId3vftffianhuv0dieu7b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hj5n_1azlzfqo3modex" Type="http://schemas.openxmlformats.org/officeDocument/2006/relationships/hyperlink" Target="https://dalil.kg/document/111527#st_170" TargetMode="External"/><Relationship Id="rIdbkxldhm4b-zb4s79gjvjh" Type="http://schemas.openxmlformats.org/officeDocument/2006/relationships/hyperlink" Target="https://dalil.kg/document/202913#st_97" TargetMode="External"/><Relationship Id="rIdix7zvqxlsl9t3iibqqnzv" Type="http://schemas.openxmlformats.org/officeDocument/2006/relationships/hyperlink" Target="https://dalil.kg/document/203281#st_4" TargetMode="External"/><Relationship Id="rIds2p4qjgnjc7bspdx7tmty" Type="http://schemas.openxmlformats.org/officeDocument/2006/relationships/hyperlink" Target="https://dalil.kg/document/203281#st_18" TargetMode="External"/><Relationship Id="rIdrgqfanfan6rjnadhupo8e" Type="http://schemas.openxmlformats.org/officeDocument/2006/relationships/hyperlink" Target="https://dalil.kg/document/203281#st_19" TargetMode="External"/><Relationship Id="rIdw1wchodp-vg_ne5flnoui" Type="http://schemas.openxmlformats.org/officeDocument/2006/relationships/hyperlink" Target="https://dalil.kg/document/203281#st_37" TargetMode="External"/><Relationship Id="rIdtmolythh_ke3pioh_5vnh" Type="http://schemas.openxmlformats.org/officeDocument/2006/relationships/hyperlink" Target="https://dalil.kg/document/203281#st_42" TargetMode="External"/><Relationship Id="rIdpmbknl7kvfkuqeb1ztnyp" Type="http://schemas.openxmlformats.org/officeDocument/2006/relationships/hyperlink" Target="https://dalil.kg/document/111527#st_170" TargetMode="External"/><Relationship Id="rIdb4-znumwbyheqx6tyr4gq" Type="http://schemas.openxmlformats.org/officeDocument/2006/relationships/hyperlink" Target="https://dalil.kg/document/202913" TargetMode="External"/><Relationship Id="rIdpgwykhnfwn_qehfz2lfo0" Type="http://schemas.openxmlformats.org/officeDocument/2006/relationships/hyperlink" Target="https://dalil.kg/document/111527#st_170" TargetMode="External"/><Relationship Id="rIdeg8s31vysimkrxkesdi6i" Type="http://schemas.openxmlformats.org/officeDocument/2006/relationships/hyperlink" Target="https://dalil.kg/document/111527#st_170" TargetMode="External"/><Relationship Id="rIdkdytb-xqqnmnnaqywnuo1" Type="http://schemas.openxmlformats.org/officeDocument/2006/relationships/hyperlink" Target="https://dalil.kg/document/202913" TargetMode="External"/><Relationship Id="rIdukgpsif-6-qgl1x6hkps3" Type="http://schemas.openxmlformats.org/officeDocument/2006/relationships/hyperlink" Target="https://dalil.kg/document/111527#st_170" TargetMode="External"/><Relationship Id="rIdnzmntfoou6fks9u37ijnk" Type="http://schemas.openxmlformats.org/officeDocument/2006/relationships/hyperlink" Target="https://dalil.kg/document/111527#st_244" TargetMode="External"/><Relationship Id="rIdzdvlyhcorzux0z8ty0n7a" Type="http://schemas.openxmlformats.org/officeDocument/2006/relationships/hyperlink" Target="https://dalil.kg/document/9765" TargetMode="External"/><Relationship Id="rIdorwes5fhtr75ezjgb5f9q" Type="http://schemas.openxmlformats.org/officeDocument/2006/relationships/hyperlink" Target="https://dalil.kg/document/9779" TargetMode="External"/><Relationship Id="rIdbiaqfte19c4exv2smalcl" Type="http://schemas.openxmlformats.org/officeDocument/2006/relationships/hyperlink" Target="https://dalil.kg/document/202913" TargetMode="External"/><Relationship Id="rIdmdbdgys_3_9274ducavlf" Type="http://schemas.openxmlformats.org/officeDocument/2006/relationships/hyperlink" Target="https://dalil.kg/document/202913#st_20" TargetMode="External"/><Relationship Id="rIdnojlawooakfflaxyfkcdl" Type="http://schemas.openxmlformats.org/officeDocument/2006/relationships/hyperlink" Target="https://dalil.kg/document/111527#st_170" TargetMode="External"/><Relationship Id="rIdvqywiqhnrbcd1gf7kpmxk" Type="http://schemas.openxmlformats.org/officeDocument/2006/relationships/hyperlink" Target="https://dalil.kg/document/202913#st_20" TargetMode="External"/><Relationship Id="rId4qwqhgnqso9prjyfknqfn" Type="http://schemas.openxmlformats.org/officeDocument/2006/relationships/hyperlink" Target="https://dalil.kg/document/202913#st_24" TargetMode="External"/><Relationship Id="rIdmryrb20xkyg4i5nisgx9-" Type="http://schemas.openxmlformats.org/officeDocument/2006/relationships/hyperlink" Target="https://dalil.kg/document/202913#st_40" TargetMode="External"/><Relationship Id="rIdbuklojzdduo3wqtjvbp82" Type="http://schemas.openxmlformats.org/officeDocument/2006/relationships/hyperlink" Target="https://dalil.kg/document/203281#st_30" TargetMode="External"/><Relationship Id="rIdznb3jsp6rghzpvaebkdpp" Type="http://schemas.openxmlformats.org/officeDocument/2006/relationships/hyperlink" Target="https://dalil.kg/document/202913#st_16" TargetMode="External"/><Relationship Id="rIddezq3kc-cx4kk1xdtqvqv" Type="http://schemas.openxmlformats.org/officeDocument/2006/relationships/hyperlink" Target="https://dalil.kg/document/203700" TargetMode="External"/><Relationship Id="rId3gzdsbmwkwlth_huizy0-" Type="http://schemas.openxmlformats.org/officeDocument/2006/relationships/hyperlink" Target="https://dalil.kg/document/203700" TargetMode="External"/><Relationship Id="rIdvbhpgiyrdhg3h3szsputk" Type="http://schemas.openxmlformats.org/officeDocument/2006/relationships/hyperlink" Target="https://dalil.kg/document/202913" TargetMode="External"/><Relationship Id="rIdnd470esdu0srkn4kkhpcm" Type="http://schemas.openxmlformats.org/officeDocument/2006/relationships/hyperlink" Target="https://dalil.kg/document/111530#st_170" TargetMode="External"/><Relationship Id="rIdnedasoq8dawyu2kyymhus" Type="http://schemas.openxmlformats.org/officeDocument/2006/relationships/hyperlink" Target="https://dalil.kg/document/202913#st_20" TargetMode="External"/><Relationship Id="rId_5dtfgo-dms0r5cwym3go" Type="http://schemas.openxmlformats.org/officeDocument/2006/relationships/hyperlink" Target="https://dalil.kg/document/111527#st_170" TargetMode="External"/><Relationship Id="rIdnnpek3lzq75zgmdzcsihm" Type="http://schemas.openxmlformats.org/officeDocument/2006/relationships/hyperlink" Target="https://dalil.kg/document/202913#st_20" TargetMode="External"/><Relationship Id="rIdisddbnwwtqe48-yw-c4ki" Type="http://schemas.openxmlformats.org/officeDocument/2006/relationships/hyperlink" Target="https://dalil.kg/document/111527#st_170" TargetMode="External"/><Relationship Id="rIdgfksaa2qmvnysbvrnngc0" Type="http://schemas.openxmlformats.org/officeDocument/2006/relationships/hyperlink" Target="https://dalil.kg/document/111527#st_170" TargetMode="External"/><Relationship Id="rIdx_clmk1wxe5h62wmj55zd" Type="http://schemas.openxmlformats.org/officeDocument/2006/relationships/hyperlink" Target="https://dalil.kg/document/202913#st_16" TargetMode="External"/><Relationship Id="rIdp7rqzmtigel2z3tsxr1l-" Type="http://schemas.openxmlformats.org/officeDocument/2006/relationships/hyperlink" Target="https://dalil.kg/document/111527#st_63" TargetMode="External"/><Relationship Id="rIdj9sl2xdnkdc5fg4onnbdp" Type="http://schemas.openxmlformats.org/officeDocument/2006/relationships/hyperlink" Target="https://dalil.kg/document/111527" TargetMode="External"/><Relationship Id="rId0ilvvtalnum4jvtssvyha" Type="http://schemas.openxmlformats.org/officeDocument/2006/relationships/hyperlink" Target="https://dalil.kg/document/202913" TargetMode="External"/><Relationship Id="rIdapyqqyr1fpy6j9mgkjy7x" Type="http://schemas.openxmlformats.org/officeDocument/2006/relationships/hyperlink" Target="https://dalil.kg/document/111527#st_170" TargetMode="External"/><Relationship Id="rIdfnvdrvwdznoqqpjtxr5my" Type="http://schemas.openxmlformats.org/officeDocument/2006/relationships/hyperlink" Target="https://dalil.kg/document/202913" TargetMode="External"/><Relationship Id="rId7t1mobuhdznldhetpysoa" Type="http://schemas.openxmlformats.org/officeDocument/2006/relationships/hyperlink" Target="https://dalil.kg/document/203281#st_19" TargetMode="External"/><Relationship Id="rId7mco3x4r3ygvst0ifxvip" Type="http://schemas.openxmlformats.org/officeDocument/2006/relationships/hyperlink" Target="https://dalil.kg/document/111527#st_170" TargetMode="External"/><Relationship Id="rIdcf7bpdrauzxvgkutb0qp7" Type="http://schemas.openxmlformats.org/officeDocument/2006/relationships/hyperlink" Target="https://dalil.kg/document/111527#st_170" TargetMode="External"/><Relationship Id="rIdrkj9uifzokbmlfgy4prpf" Type="http://schemas.openxmlformats.org/officeDocument/2006/relationships/hyperlink" Target="https://dalil.kg/document/111527" TargetMode="External"/><Relationship Id="rIdy-owhxisk_h0kvvjd_bwn" Type="http://schemas.openxmlformats.org/officeDocument/2006/relationships/hyperlink" Target="https://dalil.kg/document/202913" TargetMode="External"/><Relationship Id="rIdgvgcgupmked5kseigpbdj" Type="http://schemas.openxmlformats.org/officeDocument/2006/relationships/hyperlink" Target="https://dalil.kg/document/202913" TargetMode="External"/><Relationship Id="rIdkze7oy-9axfbj3ajlwccm" Type="http://schemas.openxmlformats.org/officeDocument/2006/relationships/hyperlink" Target="https://dalil.kg/document/202913#st_20" TargetMode="External"/><Relationship Id="rIdwffoz9owafl9c1rjbnmyn" Type="http://schemas.openxmlformats.org/officeDocument/2006/relationships/hyperlink" Target="https://dalil.kg/document/202913" TargetMode="External"/><Relationship Id="rIdz42qpo0qz6jznn1bvgjrr" Type="http://schemas.openxmlformats.org/officeDocument/2006/relationships/hyperlink" Target="https://dalil.kg/document/202913" TargetMode="External"/><Relationship Id="rId_z1fvgyfqbtsf5079spu2" Type="http://schemas.openxmlformats.org/officeDocument/2006/relationships/hyperlink" Target="https://dalil.kg/document/111527" TargetMode="External"/><Relationship Id="rIdzea2coihu5dqbvb_ygizk" Type="http://schemas.openxmlformats.org/officeDocument/2006/relationships/hyperlink" Target="https://dalil.kg/document/111527#st_170" TargetMode="External"/><Relationship Id="rId19o77c2m6-d0d58jkp25j" Type="http://schemas.openxmlformats.org/officeDocument/2006/relationships/hyperlink" Target="https://dalil.kg/document/111527#st_244" TargetMode="External"/><Relationship Id="rIdvhhjt8q7nqubwpws-cqbv" Type="http://schemas.openxmlformats.org/officeDocument/2006/relationships/hyperlink" Target="https://dalil.kg/document/111527#st_170" TargetMode="External"/><Relationship Id="rIdvtwa6zd76jcxuvolxkndv" Type="http://schemas.openxmlformats.org/officeDocument/2006/relationships/hyperlink" Target="https://dalil.kg/document/111527#st_170" TargetMode="External"/><Relationship Id="rIddvkanlghex_2m09ymyhlm" Type="http://schemas.openxmlformats.org/officeDocument/2006/relationships/hyperlink" Target="https://dalil.kg/document/111527#st_40" TargetMode="External"/><Relationship Id="rIdme5uttrb-tisn1mt8os5c" Type="http://schemas.openxmlformats.org/officeDocument/2006/relationships/hyperlink" Target="https://dalil.kg/document/111527#st_170" TargetMode="External"/><Relationship Id="rIdzrxru01rumgum_mrxhvpr" Type="http://schemas.openxmlformats.org/officeDocument/2006/relationships/hyperlink" Target="https://dalil.kg/document/202913" TargetMode="External"/><Relationship Id="rIdnhicv6arnu80ku6cqv_nm" Type="http://schemas.openxmlformats.org/officeDocument/2006/relationships/hyperlink" Target="https://dalil.kg/document/111527#st_170" TargetMode="External"/><Relationship Id="rIdttg46gnzr1i71efgrlvi0" Type="http://schemas.openxmlformats.org/officeDocument/2006/relationships/hyperlink" Target="https://dalil.kg/document/202913#st_97" TargetMode="External"/><Relationship Id="rIda2da0j0dj2ludzhxdq0pe" Type="http://schemas.openxmlformats.org/officeDocument/2006/relationships/hyperlink" Target="https://dalil.kg/document/203281#st_46" TargetMode="External"/><Relationship Id="rId-4drmhoaiytwqdptbqvhz" Type="http://schemas.openxmlformats.org/officeDocument/2006/relationships/hyperlink" Target="https://dalil.kg/document/203281#st_47" TargetMode="External"/><Relationship Id="rId1h-kz1c1ng1zuqwyll8rm" Type="http://schemas.openxmlformats.org/officeDocument/2006/relationships/hyperlink" Target="https://dalil.kg/document/203281#st_48" TargetMode="External"/><Relationship Id="rIdyb3d5wnemijc894s5ny4d" Type="http://schemas.openxmlformats.org/officeDocument/2006/relationships/hyperlink" Target="https://dalil.kg/document/203281#st_51" TargetMode="External"/><Relationship Id="rId6ly0vobsnyibfitncalcg" Type="http://schemas.openxmlformats.org/officeDocument/2006/relationships/hyperlink" Target="https://dalil.kg/document/203281#st_52" TargetMode="External"/><Relationship Id="rId20imlmakr59nsqvbn_am1" Type="http://schemas.openxmlformats.org/officeDocument/2006/relationships/hyperlink" Target="https://dalil.kg/document/111527#st_170" TargetMode="External"/><Relationship Id="rIdchrlmucurdfhviewra6yn" Type="http://schemas.openxmlformats.org/officeDocument/2006/relationships/hyperlink" Target="https://dalil.kg/document/202913#st_20" TargetMode="External"/><Relationship Id="rIdclgeetqhplojdbfztbcrm" Type="http://schemas.openxmlformats.org/officeDocument/2006/relationships/hyperlink" Target="https://dalil.kg/document/202913#st_24" TargetMode="External"/><Relationship Id="rIdsalvistwsbcgibkuhiji4" Type="http://schemas.openxmlformats.org/officeDocument/2006/relationships/hyperlink" Target="https://dalil.kg/document/202913#st_40" TargetMode="External"/><Relationship Id="rIdfhkxsq3eowzui8k7virja" Type="http://schemas.openxmlformats.org/officeDocument/2006/relationships/hyperlink" Target="https://dalil.kg/document/111527#st_170"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mvtus-zey_l8wylec8d" Type="http://schemas.openxmlformats.org/officeDocument/2006/relationships/hyperlink" Target="https://dalil.kg/document/434727" TargetMode="External"/><Relationship Id="rId3vftffianhuv0dieu7b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2026-09-25T03:08:43.706Z</dcterms:created>
  <dcterms:modified xsi:type="dcterms:W3CDTF">2026-09-25T03:08:43.706Z</dcterms:modified>
</cp:coreProperties>
</file>

<file path=docProps/custom.xml><?xml version="1.0" encoding="utf-8"?>
<Properties xmlns="http://schemas.openxmlformats.org/officeDocument/2006/custom-properties" xmlns:vt="http://schemas.openxmlformats.org/officeDocument/2006/docPropsVTypes"/>
</file>