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l-gi3kmuseob3ag3eq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fsywbwt8fsnfaqtufw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сентября 1995 года № УП-218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
  о Комиссии </w:t>
      </w:r>
      <w:r>
        <w:rPr>
          <w:rFonts w:ascii="Arial" w:cs="Arial" w:eastAsia="Arial" w:hAnsi="Arial"/>
          <w:sz w:val="24"/>
          <w:szCs w:val="24"/>
        </w:rPr>
        <w:t xml:space="preserve">по реализации Президентских образовательных программ </w:t>
      </w:r>
      <w:r>
        <w:rPr>
          <w:rFonts w:ascii="Arial" w:cs="Arial" w:eastAsia="Arial" w:hAnsi="Arial"/>
          <w:sz w:val="24"/>
          <w:szCs w:val="24"/>
        </w:rPr>
        <w:t xml:space="preserve">при
  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</w:t>
      </w:r>
      <w:hyperlink w:history="1" r:id="rId015q-h2gv1cmhextd7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№221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q9iocttb4hcthfvff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по реализации Президентских образовательных программ при Президенте Кыргызской Республики (далее - Комиссия) является постоянно действующим органом, осуществляющим реализацию Президентской образовательной программы «Кадры XXI века» и программы «Доступ к образованию (Жеткинчек)», содействие международным программам развития партнерства в области образования и науки.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215uxjvpbec-qydcd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образуется из числа представителей государственных органов, научных, учебных и других учреждений. Персональный состав Комиссии определяется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du89vsfwpxyj4lyslgg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2002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cch8icvh_27yzi3o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3. Заседание Комиссии считается правомочным, если на нем присутствует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принимает решения простым большинством голосов присутствующих на ее заседании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4. Решения и рекомендации Комиссии направляются соответствующим органам и организациям и подлежат обязательному рассмотрению в установленный Комиссией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5. Комиссия осуществляет координацию, контроль и содействие деятельности государственных учреждений, вузов и других образовательных и научных заведений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инициирование и реализация международных соглашений, проектов, привлечение и реализация инвестиций, технической помощи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подготовка и переподготовка специалистов за рубежом для разных отраслей народного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функционирование международных вузов, научно-технических центров и других учреждений, реализующих программу партнерства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включение учебных заведений и научных учреждений в мировую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развитие технического сотрудничества, в том числе в области дистанционного обучения, использования компьютерных мультимедиа, телекоммуникационных средств в образовательном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учебной и научной литературой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совещаний, конференций, совместных курсов по актуальным вопросам подготовки специалистов и развития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оказание поддержки одаренным детям и молодежи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привлечение средств для подготовки специалистов в ведущих зарубежных учебных заведениях и центрах;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разработка проектов для финансирования образовательных и научных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проведение конкурса по отбору кандидатур для направления на обучение за рубежом по Президентской образовательной программе "Кадры XXI века";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участие в осуществлении контроля за соблюдением законодательства об образовании, изучение и обобщение новой практики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реализация поручений Президента Кыргызской Республики по вопросам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6.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представлять Президенту Кыргызской Республики предложения по совершенствованию законодательства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давать заключения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запрашивать необходимые для ее работы сведения и документы от государственных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заслушивать представителей государственных и общественных организаций и должностных лиц по вопросам образования и науки, подготовки и переподготовки специалистов для отраслей народного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привлекать в случае необходимости работников государственных органов, ученых, специалистов, представителей общественности, а также по взаимной договоренности отечественные и зарубежные фонды для совместной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формировать рабочие группы для разработки проектов, анализа и выработки рекомендаций и предложений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приглашать на свои заседания представителей государственных органов, трудовых коллективов и средств массовой информации для освещения вопросов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совещания, конференции по актуальным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инициировать заключение международных соглашений по партнерству в области образования и науки, а также осуществлять контроль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qe4yf_aqe4pc60cwp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dalil.kg/document/46922</w:t>
      </w:r>
    </w:hyperlink>
  </w:p>
  <w:p>
    <w:pPr>
      <w:spacing w:after="0" w:before="40"/>
      <w:jc w:val="center"/>
    </w:pPr>
    <w:hyperlink w:history="1" r:id="rIdqipm_f-t7eeqx1s_zx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-gi3kmuseob3ag3eqeq" Type="http://schemas.openxmlformats.org/officeDocument/2006/relationships/hyperlink" Target="https://dalil.kg/document/61789" TargetMode="External"/><Relationship Id="rIdfsywbwt8fsnfaqtufwung" Type="http://schemas.openxmlformats.org/officeDocument/2006/relationships/hyperlink" Target="https://dalil.kg/document/46921" TargetMode="External"/><Relationship Id="rId015q-h2gv1cmhextd7spj" Type="http://schemas.openxmlformats.org/officeDocument/2006/relationships/hyperlink" Target="https://dalil.kg/document/3857" TargetMode="External"/><Relationship Id="rIdppq9iocttb4hcthfvff3k" Type="http://schemas.openxmlformats.org/officeDocument/2006/relationships/hyperlink" Target="https://dalil.kg/document/61318" TargetMode="External"/><Relationship Id="rIdk215uxjvpbec-qydcdlum" Type="http://schemas.openxmlformats.org/officeDocument/2006/relationships/hyperlink" Target="https://dalil.kg/document/61318" TargetMode="External"/><Relationship Id="rIddu89vsfwpxyj4lyslgg5w" Type="http://schemas.openxmlformats.org/officeDocument/2006/relationships/hyperlink" Target="https://dalil.kg/document/3857" TargetMode="External"/><Relationship Id="rIdricch8icvh_27yzi3okh-" Type="http://schemas.openxmlformats.org/officeDocument/2006/relationships/hyperlink" Target="https://dalil.kg/document/613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qe4yf_aqe4pc60cwp-e" Type="http://schemas.openxmlformats.org/officeDocument/2006/relationships/hyperlink" Target="https://dalil.kg/document/46922" TargetMode="External"/><Relationship Id="rIdqipm_f-t7eeqx1s_zxl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2026-09-25T11:48:58.243Z</dcterms:created>
  <dcterms:modified xsi:type="dcterms:W3CDTF">2026-09-25T11:48:58.243Z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