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см. Распоряжение Президента КР от 19.07.06г</w:t>
      </w:r>
      <w:hyperlink w:history="1" r:id="rIddclq81egbncygpnueja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№266</w:t>
        </w:r>
      </w:hyperlink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декабря 1996 года N РП-388              РАСПОРЯЖЕНИЕ ПРЕЗИДЕНТА КЫРГЫЗСКОЙ РЕСПУБЛИКИ     В целях  повышения  эффективности  осуществления  Государственногопротокола в Кыргызской Республике постановляю:    1.  Утвердить   </w:t>
      </w:r>
      <w:hyperlink w:history="1" r:id="rIdeinj8re6zdurwhlr-ta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Основные   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  Государственного  протоколаКыргызской Республики (прилагается).    2.  Утвердить   </w:t>
      </w:r>
      <w:hyperlink w:history="1" r:id="rIdebblyjhzqv52vwtdwtf4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Протокольное старшинство</w:t>
        </w:r>
      </w:hyperlink>
      <w:r>
        <w:rPr>
          <w:rFonts w:ascii="Arial" w:cs="Arial" w:eastAsia="Arial" w:hAnsi="Arial"/>
          <w:sz w:val="24"/>
          <w:szCs w:val="24"/>
        </w:rPr>
        <w:t xml:space="preserve">  высших  должностных  лицКыргызской Республики (прилагается).    3. Контроль  за  исполнением  настоящего распоряжения возложить намеждународный отдел Администрации Президента Кыргызской Республики.     Президент Кыргызской Республики                   А.Акаев                                                      Утверждено                                              распоряжением Президента                                                 Кыргызской Республики                                       от 4 декабря 1996 года N РП-388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ПРОТОКОЛЬНОЕ СТАРШИНСТВО</w:t>
      </w:r>
      <w:r>
        <w:rPr>
          <w:rFonts w:ascii="Arial" w:cs="Arial" w:eastAsia="Arial" w:hAnsi="Arial"/>
          <w:sz w:val="24"/>
          <w:szCs w:val="24"/>
        </w:rPr>
        <w:t xml:space="preserve">            высших должностных лиц в Кыргызской Республике     1. Президент Кыргызской Республики;    2. Торага Законодательного собрания  и  Торага  Собрания  народныхпредставителей Жогорку Кенеша Кыргызской Республики;    3. Премьер-министр Кыргызской Республики;    4. Государственный Секретарь Кыргызской Республики;    5. Председатель Конституционного Суда;    6. Руководитель Администрации Президента Кыргызской Республики;    7. Вице-премьер-министры Кыргызской Республики;    8. Секретарь Совета безопасности Кыргызской Республики;    9. Советники Президента Кыргызской Республики;    10.  Заведующие   отделами   Администрации  Президента  КыргызскойРеспублики;    11. Председатель Верховного Суда;    12. Председатель Арбитражного Суда;    13. Генеральный прокурор;    14. Члены Правительства Кыргызской Республики:    министр иностранных дел;    министр национальной безопасности;    министр внутренних дел;    министр обороны;    министр финансов;    председатель Фонда государственного имущества;    министр внешней торговли и промышленности;    министр по делам сотрудничества с государствами-участниками СНГ;    министр юстиции;    министр сельского и водного хозяйства;    министр труда и социальной защиты;    министр архитектуры и строительства;    министр транспорта и связи;    министр образования, науки и культуры;    министр охраны окружающей среды;    министр по чрезвычайным ситуациям и гражданской обороне;    министр здравоохранения;    15. Председатель Национального банка;    16. Чрезвычайные и Полномочные Послы Кыргызской Республики;    17. Главы областных государственных администраций и главы местногосамоуправления городов Бишкека и Оша;    18.   Заведующие   отделами   Аппарата  Правительства   КыргызскойРеспублики;    19. Руководители административных ведомств;    20. Заместители членов Правительства Кыргызской Республики.     Примечание:    1.  Президент  Кыргызской Республики может  вносить  коррективы  вПротокольное    старшинство    высших   должностных   лиц   КыргызскойРеспублики в отношении отдельных должностных лиц.    2. Протокольное  старшинство представителей законодательной властиидет по отдельному списку.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k6zrdii_o0wlmxrnt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dalil.kg/document/48717</w:t>
      </w:r>
    </w:hyperlink>
  </w:p>
  <w:p>
    <w:pPr>
      <w:spacing w:after="0" w:before="40"/>
      <w:jc w:val="center"/>
    </w:pPr>
    <w:hyperlink w:history="1" r:id="rIdddim6nxl7ir3gydcqkn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clq81egbncygpnuejav-" Type="http://schemas.openxmlformats.org/officeDocument/2006/relationships/hyperlink" Target="https://dalil.kg/document/14909" TargetMode="External"/><Relationship Id="rIdeinj8re6zdurwhlr-tarz" Type="http://schemas.openxmlformats.org/officeDocument/2006/relationships/hyperlink" Target="https://dalil.kg/document/48718" TargetMode="External"/><Relationship Id="rIdebblyjhzqv52vwtdwtf4-" Type="http://schemas.openxmlformats.org/officeDocument/2006/relationships/hyperlink" Target="https://dalil.kg/document/4871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k6zrdii_o0wlmxrntey" Type="http://schemas.openxmlformats.org/officeDocument/2006/relationships/hyperlink" Target="https://dalil.kg/document/48717" TargetMode="External"/><Relationship Id="rIdddim6nxl7ir3gydcqkn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2026-09-27T16:22:08.501Z</dcterms:created>
  <dcterms:modified xsi:type="dcterms:W3CDTF">2026-09-27T16:22:08.501Z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