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tbdanm7va7zdv_ptmqe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марта 2009 года № 198                                             Утверждено                    </w:t>
      </w:r>
      <w:hyperlink w:history="1" r:id="rIds8-xqhlfjhcth8biumj_p">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Кыргызской Республики                    от 11 сентября 2003 года N 575                                 ПОЛОЖЕНИЕ            о порядке определения границ земельного участка                       при многоквартирном доме              (В редакции постановления Правительства КР от       </w:t>
      </w:r>
      <w:hyperlink w:history="1" r:id="rId4zbv_dbx-tbbo3fvkpdle">
        <w:r>
          <w:rPr>
            <w:rFonts w:ascii="Arial" w:cs="Arial" w:eastAsia="Arial" w:hAnsi="Arial"/>
            <w:color w:val="1D4ED8"/>
            <w:sz w:val="24"/>
            <w:szCs w:val="24"/>
            <w:u w:val="single"/>
          </w:rPr>
          <w:t xml:space="preserve">2 июля 2004 года N 495</w:t>
        </w:r>
      </w:hyperlink>
      <w:r>
        <w:rPr>
          <w:rFonts w:ascii="Arial" w:cs="Arial" w:eastAsia="Arial" w:hAnsi="Arial"/>
          <w:sz w:val="24"/>
          <w:szCs w:val="24"/>
        </w:rPr>
        <w:t xml:space="preserve">,</w:t>
      </w:r>
      <w:hyperlink w:history="1" r:id="rIdwxxwhf9rpylbze_wo3s0v">
        <w:r>
          <w:rPr>
            <w:rFonts w:ascii="Arial" w:cs="Arial" w:eastAsia="Arial" w:hAnsi="Arial"/>
            <w:color w:val="1D4ED8"/>
            <w:sz w:val="24"/>
            <w:szCs w:val="24"/>
            <w:u w:val="single"/>
          </w:rPr>
          <w:t xml:space="preserve">22 сентября 2005 года №448</w:t>
        </w:r>
      </w:hyperlink>
      <w:r>
        <w:rPr>
          <w:rFonts w:ascii="Arial" w:cs="Arial" w:eastAsia="Arial" w:hAnsi="Arial"/>
          <w:sz w:val="24"/>
          <w:szCs w:val="24"/>
        </w:rPr>
        <w:t xml:space="preserve">)    1.  Настоящее  Положение  о  порядке определения  границ  земельногоучастка  при  многоквартирном доме (далее - Положение)  разработано  всоответствии   с   </w:t>
      </w:r>
      <w:hyperlink w:history="1" r:id="rIdhr4xn86eqr0w26eufzyg8">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и  </w:t>
      </w:r>
      <w:hyperlink w:history="1" r:id="rIdngzpqgoqpkx-1--hf4noc">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кодексами   КыргызскойРеспублики,    </w:t>
      </w:r>
      <w:hyperlink w:history="1" r:id="rIdstopzlkpintddipyxbbt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товариществахсобственников жилья", другими нормативными правовыми актами КыргызскойРеспублики  и  устанавливает  порядок  определения  границ  земельногоучастка   при  многоквартирном  доме  (далее  -  придомовой  земельныйучасток).  2. В настоящем Положении применяются следующие понятия:  группа  многоквартирных домов - два или более многоквартирных  дома,под   проектирование  и  строительство  которых  предоставлялся   одинземельный участок;  многоквартирный дом - отдельное строение с двумя и  более  жилыми  инежилыми помещениями;  максимальные  нормативные  размеры  площади  придомового  земельногоучастка   -  установленные  настоящим  Положением  в  соответствии   сградостроительными  нормами максимальные размеры  площади  придомовогоземельного участка для различных типов многоквартирных домов;  минимальные  нормативные  размеры  площади  придомового   земельногоучастка   -  установленные  настоящим  Положением  в  соответствии   сградостроительными  нормами  минимальные размеры  площади  придомовогоземельного участка для различных типов многоквартирных домов;  проезды   основные   -   внутримикрорайонные  проезды   транспортныхсредств к нескольким группам жилых домов и других объектов, с техничес-кими характеристиками, принятыми согласно действующим строительным нор-мам и правилам;  собственник помещения - физическое или юридическое лицо,  обладающееправом   собственности   на  жилое  и  (или)   нежилое   помещение   вмногоквартирном  доме  и  долей  в  общем  имуществе  в  установленномзаконодательством порядке;  срединная линия - линия, проходящая между двумя расположенными рядоммногоквартирными  домами  и  равноудаленная  от  этих  многоквартирныхдомов;  фасадная  сторона  многоквартирного дома - сторона  многоквартирногодома,  на  которой  расположены  входы  в  жилые  квартиры  (подъезды)многоквартирного дома;  тыльная  сторона  многоквартирного дома -  сторона  многоквартирногодома, расположенная с противоположной от фасадной стороны;  торцевая   сторона   многоквартирного  дома   -   короткая   сторонамногоквартирного дома;  высота здания - расстояние от уровня земли до наивысшей точки кровли(парапета) многоквартирного дома.(В редакции постановления Правительства КР от </w:t>
      </w:r>
      <w:hyperlink w:history="1" r:id="rIdw7opkxxqg2m-uqw27let5">
        <w:r>
          <w:rPr>
            <w:rFonts w:ascii="Arial" w:cs="Arial" w:eastAsia="Arial" w:hAnsi="Arial"/>
            <w:color w:val="1D4ED8"/>
            <w:sz w:val="24"/>
            <w:szCs w:val="24"/>
            <w:u w:val="single"/>
          </w:rPr>
          <w:t xml:space="preserve">2 июля 2004 года N 495</w:t>
        </w:r>
      </w:hyperlink>
      <w:r>
        <w:rPr>
          <w:rFonts w:ascii="Arial" w:cs="Arial" w:eastAsia="Arial" w:hAnsi="Arial"/>
          <w:sz w:val="24"/>
          <w:szCs w:val="24"/>
        </w:rPr>
        <w:t xml:space="preserve">)  3. Границы придомовых земельных участков определяются в соответствиис   настоящим  Положением,  законодательством  Кыргызской  Республики,градостроительными нормами, предусмотренными в строительных  нормах  иправилах, и с учетом сложившейся градостроительной ситуации.  4.  Границы придомового земельного участка определяются на земельныйучасток, прилегающий к одному многоквартирному дому.  5. В придомовой земельный участок не включаются:  -  дороги,  улицы,  тротуары вдоль улиц, проезды - основные площади,  парки,  лесопарки, бульвары, скверы, водоемы;  -  земельные  участки,  используемые для  прохождения  магистральныхинженерных сетей в границах их охранных зон;  -    земельные    участки,    занятые   инженерными    сооружениями,обслуживающими более чем один многоквартирный дом;  -  земельные участки, которые в установленном порядке в соответствиис законодательством Кыргызской Республики были предоставлены на правахпостоянного  пользования физическим и юридическим лицам и  на  которыевозникли права собственности;  -  земельные участки, определенные в качестве санитарно-защитных зонот  промышленных  предприятий  и  объектов,  вредные  выбросы  которыхпредставляют угрозу здоровья людей;  -   земельные  участки,  подверженные  опасным  природным  процессам(селям, подтоплению и другим).(В редакции постановления Правительства КР от </w:t>
      </w:r>
      <w:hyperlink w:history="1" r:id="rIdlnrquzfz74lofazv5sdnm">
        <w:r>
          <w:rPr>
            <w:rFonts w:ascii="Arial" w:cs="Arial" w:eastAsia="Arial" w:hAnsi="Arial"/>
            <w:color w:val="1D4ED8"/>
            <w:sz w:val="24"/>
            <w:szCs w:val="24"/>
            <w:u w:val="single"/>
          </w:rPr>
          <w:t xml:space="preserve">2 июля 2004 года N 495</w:t>
        </w:r>
      </w:hyperlink>
      <w:r>
        <w:rPr>
          <w:rFonts w:ascii="Arial" w:cs="Arial" w:eastAsia="Arial" w:hAnsi="Arial"/>
          <w:sz w:val="24"/>
          <w:szCs w:val="24"/>
        </w:rPr>
        <w:t xml:space="preserve">)  6.   Максимальные   и   минимальные  нормативные   размеры   площадипридомового  земельного  участка  определяются  из  расчета  на   однуквартиру    без    учета   площади   земельного   участка,    занятогомногоквартирным домом (согласно приложению).  7. При исчислении размеров площади придомового земельного участка:  -  количество  квартир  в  многоквартирном доме  принимается  равнымколичеству  квартир,  предусмотренному  первоначальным  проектом,   покоторому  осуществлено строительство многоквартирного дома (без  учетапоследующего объединения или разъединения квартир);  приравниваются  к  количеству  квартир,  которое  рассчитывается  поформуле:    К = П : Пср., где:    К - количество квартир, которому соответствует нежилое помеще-                                 ние;  П - общая площадь нежилых помещений, предусмотренная в первона-        чальном проекте, по которому осуществлено строительство                        многоквартирного дома;  Пср. - усредненная площадь одной квартиры в многоквартирном доме      по первоначальному проекту, по которому осуществлено строи-      тельство многоквартирного дома, определяемая как отношение      общей площади всех квартир в многоквартирном доме к общему      количеству квартир в этом доме по первоначальному проекту,      по которому осуществлено строительство многоквартирного дома.(В редакции постановления Правительства КР от </w:t>
      </w:r>
      <w:hyperlink w:history="1" r:id="rIdzxy_gwwjruokyubvptwki">
        <w:r>
          <w:rPr>
            <w:rFonts w:ascii="Arial" w:cs="Arial" w:eastAsia="Arial" w:hAnsi="Arial"/>
            <w:color w:val="1D4ED8"/>
            <w:sz w:val="24"/>
            <w:szCs w:val="24"/>
            <w:u w:val="single"/>
          </w:rPr>
          <w:t xml:space="preserve">2 июля 2004 года N 495</w:t>
        </w:r>
      </w:hyperlink>
      <w:r>
        <w:rPr>
          <w:rFonts w:ascii="Arial" w:cs="Arial" w:eastAsia="Arial" w:hAnsi="Arial"/>
          <w:sz w:val="24"/>
          <w:szCs w:val="24"/>
        </w:rPr>
        <w:t xml:space="preserve">)  8.  При  наличии первоначальных документов (решений о предоставленииправа   на   земельный   участок,   о  разрешении   на   строительствомногоквартирного  дома  и других) на отдельно стоящий  многоквартирныйдом,  в  которых  содержатся данные о границах  и  площади  земельногоучастка,  предоставленного для строительства данного  многоквартирногодома,  и  при условии, что в состав придомового земельного участка  невключены  земельные  участки, предусмотренные в  пункте  5  настоящегоПоложения,  границы  придомового земельного  участка  определяются  наосновании указанных первоначальных документов.(В редакции постановления Правительства КР от </w:t>
      </w:r>
      <w:hyperlink w:history="1" r:id="rId1m6w4fy_4kwbghirpvqz_">
        <w:r>
          <w:rPr>
            <w:rFonts w:ascii="Arial" w:cs="Arial" w:eastAsia="Arial" w:hAnsi="Arial"/>
            <w:color w:val="1D4ED8"/>
            <w:sz w:val="24"/>
            <w:szCs w:val="24"/>
            <w:u w:val="single"/>
          </w:rPr>
          <w:t xml:space="preserve">2 июля 2004 года N 495</w:t>
        </w:r>
      </w:hyperlink>
      <w:r>
        <w:rPr>
          <w:rFonts w:ascii="Arial" w:cs="Arial" w:eastAsia="Arial" w:hAnsi="Arial"/>
          <w:sz w:val="24"/>
          <w:szCs w:val="24"/>
        </w:rPr>
        <w:t xml:space="preserve">)  9.  При  отсутствии  первоначальных  документов,  предусмотренных  впункте  8  настоящего  Положения, а также в  случаях,  если  права  наземельный  участок  были  предоставлены на группу  домов,  наличия   в  составе  придомового земельного участка земельных участков, предусмот-ренных в пункте 5 настоящего Положения, границы  придомового земельно-го  участка  определяются  на основании проекта границ придомового зе-мельного участка в порядке, установленном настоящим Положением.(В редакции постановления Правительства КР от </w:t>
      </w:r>
      <w:hyperlink w:history="1" r:id="rIdtk2px-r8fv-50vzvmjdby">
        <w:r>
          <w:rPr>
            <w:rFonts w:ascii="Arial" w:cs="Arial" w:eastAsia="Arial" w:hAnsi="Arial"/>
            <w:color w:val="1D4ED8"/>
            <w:sz w:val="24"/>
            <w:szCs w:val="24"/>
            <w:u w:val="single"/>
          </w:rPr>
          <w:t xml:space="preserve">2 июля 2004 года N 495</w:t>
        </w:r>
      </w:hyperlink>
      <w:r>
        <w:rPr>
          <w:rFonts w:ascii="Arial" w:cs="Arial" w:eastAsia="Arial" w:hAnsi="Arial"/>
          <w:sz w:val="24"/>
          <w:szCs w:val="24"/>
        </w:rPr>
        <w:t xml:space="preserve">)  10. Проект границ придомового земельного участка должен содержать:  -   план  придомового  земельного  участка,  выполненный  на  моментопределения  границ,  вычерченный на схеме  топографической  съемки  вмасштабе  1:500,  на  котором  нанесен  многоквартирный  дом,  границыпридомового   земельного  участка,  привязанные   к   дому,   наружныеинженерные  сети  и сооружения по согласованию с юридическими  лицами,эксплуатирующими эти сети и сооружения;  - данные о площади придомового земельного участка с указанием данныхо  площадях,  занятых:  а) под застройку; б) под  озеленение;  в)  подпроезды; тротуары; разворотные площадки и автостоянки; г) под площадки(детские, отдыха, сушки белья, чистки ковров, сбора мусора и другие);  -   ограничения  права  пользования  придомовым  земельным  участком(сервитуты);  -  границы  и размеры площади участков, предоставленных во временноепользование  собственникам  помещений и третьим  лицам,  если  таковыеимеются.  11.   Для   группы   многоквартирных  домов  одинаковой   этажности,расположенных  фасадными,  тыльными или  торцевыми  сторонами  друг  кдругу,  границы  их  придомовых  земельных  участков  определяются  посрединной линии в соответствии с градостроительными нормами и с учетомсложившейся   градостроительной  ситуации,  если   между   придомовымиземельными  участками не может быть выделен участок для перспективногостроительства в соответствии со строительными нормами и правилами.  12. Для группы многоквартирных домов разной этажности, расположенныхфасадными,  тыльными  или торцевыми сторонами друг  к  другу,  границымежду   их   придомовыми  земельными  участками  принимаются   методоминтерполяции,   исходя  из  расчетных  размеров  площадей   придомовыхземельных участков, рассчитанных в соответствии с настоящим Положениемс   учетом  сложившейся  градостроительной  ситуации  и  существующегообустройства земельных участков.  13.  Для  группы  многоквартирных домов,  расположенных  фасадной  итыльной  сторонами  друг  к  другу, границы  их  придомовых  земельныхучастков  определяются  таким  образом,  чтобы  организовать  дворовоепространство    с    элементами   обустройства   в   соответствии    сградостроительными  нормами для многоквартирного дома,  расположенногофасадной  стороной, и озелененное пространство вдоль  многоквартирногодома,    расположенного   тыльной   стороной.   Минимальные    размерыозелененного  пространства  с  тыльной стороны  многоквартирного  домаследует  устанавливать с учетом фактической ситуации, но не менее  1/2высоты  здания  для  многоквартирных домов до 3 этажей  и  1/3  высотыздания для многоквартирных домов 4 этажей и более.  14.   Для   группы  многоквартирных  домов,  расположенных  фасаднойстороной  одного дома к торцевой стороне другого дома  без  примыканиядруг  к  другу, границы их придомовых земельных участков  определяютсятаким  образом, чтобы у многоквартирного дома, расположенного фасаднойстороной,  был  организован  проезд с  тротуаром  (или  совмещенный  стротуаром) и газоном в соответствии с градостроительными нормами, а  вграницы придомового земельного участка другого многоквартирного  дома,расположенного торцевой стороной, была включена полоса для  озеленениясо   стороны   торца  дома  шириной  в  зависимости   от   сложившейсяградостроительной  ситуации  и  с  учетом  существующего  обустройстваземельных участков.  15.  Для  группы жилых домов, расположенных тыльной стороной  одногомногоквартирного дома к торцевой стороне другого многоквартирного домабез  примыкания друг к другу, границы их придомовых земельных участковопределяются  с учетом градостроительной ситуации и должны  составлятьне  менее 1/2 высоты здания для домов до 3 этажей и 1/3 высоты  зданиядля  многоквартирных  домов  4  этажей  и  более  со  стороны  каждогомногоквартирного дома.  16.    В    микрорайонах   со   сложной   конфигурацией   размещениямногоквартирных  домов  границы  придомовых  участков  определяются  сучетом   сложившейся   градостроительной  ситуации   и   существующегообустройства  земельных  участков, а также  требований  пунктов  10-15настоящего Положения.  17.   При  определении  границ  согласно  пунктам  10-15  настоящегоПоложения они должны выполняться на плане прямыми (ломаными) линиями иуточняться по существующим элементам обустройства участков.  18.  Определение границ придомовых земельных участков осуществляетсяорганами  местного  самоуправления за счет  местного  бюджета  и  иныхсредств, не запрещенных законодательством Кыргызской Республики.  19.  Определение границ придомового земельного участка по инициативесобственников  помещений в многоквартирном доме  либо  уполномоченнымиими  лицами  осуществляется за счет средств собственников помещений  вмногоквартирном доме.  20.  Проекты  границ придомового земельного участка  разрабатываютсятерриториальным  органом  Государственной комиссии  при  ПравительствеКыргызской  Республики по архитектуре и строительству или юридическимилицами  имеющими  лицензию  на  градостроительные  работы,  по  заказуорганов   местного  самоуправления  либо  собственников  помещений   вмногоквартирном доме.  21.  Расценки  на работы, связанные с проектировкой и  установлениемграниц  придомовых  земельных  участков производимые  государственнымиучреждениями,  утверждаются Правительством  Кыргызской  Республики,  аиными юридическими лицами определяются на основании договоров.  22.  Проект  границ  придомового земельного  участка  размещается  вдоступном общественном месте для ознакомления собственников помещений.В  течение одного месяца с момента размещения для ознакомления проектаграниц  придомового земельного участка собственники  помещений  вправепредставить   свои   замечания   и  предложения   в   орган   местногосамоуправления.  23. Для разрешения спорных ситуаций по определению границ придомовыхземельных   участков   органом   местного   самоуправления   создаетсясогласительная комиссия. В состав согласительной комиссии входят депу-таты  местного  кенеша, представители  исполнительно-распорядительного органа  местного самоуправления, собственников помещений, а также иные заинтересованные  лица, чьи права и интересы затрагиваются разрешением спорной ситуации по определению границ придомового земельного участка.(В редакции постановления Правительства КР от </w:t>
      </w:r>
      <w:hyperlink w:history="1" r:id="rIdh2tf2u6yrt70tiimgexuz">
        <w:r>
          <w:rPr>
            <w:rFonts w:ascii="Arial" w:cs="Arial" w:eastAsia="Arial" w:hAnsi="Arial"/>
            <w:color w:val="1D4ED8"/>
            <w:sz w:val="24"/>
            <w:szCs w:val="24"/>
            <w:u w:val="single"/>
          </w:rPr>
          <w:t xml:space="preserve">2 июля 2004 года N 495</w:t>
        </w:r>
      </w:hyperlink>
      <w:r>
        <w:rPr>
          <w:rFonts w:ascii="Arial" w:cs="Arial" w:eastAsia="Arial" w:hAnsi="Arial"/>
          <w:sz w:val="24"/>
          <w:szCs w:val="24"/>
        </w:rPr>
        <w:t xml:space="preserve">)  24.   Информация  о  дате,  времени  и  месте  проведения  заседанийсогласительной  комиссии размещается в доступном  общественном  месте,где   ранее  были  размещены  проекты  границ  придомового  земельногоучастка.  25. Заседания согласительной комиссии проводятся по мере поступлениядел к рассмотрению, но не реже одного раза в месяц.  26.   В   случае   необходимости  согласительная   комиссия   вправезапрашивать   у   соответствующих  органов   местного   самоуправлениянеобходимые документы для рассмотрения спорных вопросов по определениюграниц придомового земельного участка.  27.   Согласительная   комиссия  вправе  пригласить   на   заседаниязаинтересованных лиц, а также независимых экспертов и специалистов.  28. Решения согласительной комиссии принимаются простым большинствомголосов  членов  комиссии. В случае, если голоса  поданы  поровну,  тоголос председателя комиссии является решающим.  29.  Орган  местного  самоуправления в течение десяти  дней  со  дняпринятия  решения  согласительной  комиссии  уведомляет  заявителя   вписьменной  форме  о  принятом  решении и  размещает  копию  принятогорешения  в  доступном  общественном месте, где  ранее  были  размещеныпроекты границ придомового земельного участка.  30.  В случае принятия согласительной комиссией решения, изменяющегопроект    границ    придомового   земельного    участка,    разработкаокончательного   проекта   границ   придомового   земельного   участкаосуществляется на основании данного решения согласительной комиссии.  31.  Окончательный  проект  границ  придомового  земельного  участкаразмещается органом местного самоуправления в порядке, установленном впункте 22 настоящего Положения.  32.  Окончательный  проект  границ  придомового  земельного  участказаверяется главным архитектором города (района) и главой исполнительно-распорядительного органа местного самоуправления или его заместителем.(В редакции постановления Правительства КР от </w:t>
      </w:r>
      <w:hyperlink w:history="1" r:id="rId-ahi8sc_uvcfmq67iahf4">
        <w:r>
          <w:rPr>
            <w:rFonts w:ascii="Arial" w:cs="Arial" w:eastAsia="Arial" w:hAnsi="Arial"/>
            <w:color w:val="1D4ED8"/>
            <w:sz w:val="24"/>
            <w:szCs w:val="24"/>
            <w:u w:val="single"/>
          </w:rPr>
          <w:t xml:space="preserve">2 июля 2004 года N 495</w:t>
        </w:r>
      </w:hyperlink>
      <w:r>
        <w:rPr>
          <w:rFonts w:ascii="Arial" w:cs="Arial" w:eastAsia="Arial" w:hAnsi="Arial"/>
          <w:sz w:val="24"/>
          <w:szCs w:val="24"/>
        </w:rPr>
        <w:t xml:space="preserve">)  33.    Заинтересованные   лица   вправе   обжаловать    утвержденныйокончательный проект границ придомового земельного участка в  судебномпорядке.  34.   На  вновь  проектируемые  объекты  проект  границ  придомовогоземельного  участка разрабатывается согласно действующим  строительнымнормам   и  правилам  в  составе  проектной  документации  на   объектсогласовывается в установленном порядке.  35. На основании заверенного проекта границ  придомового  земельногоучастка местные органы Государственного агентства по регистрации  правна   недвижимое  имущество  при  Правительстве  Кыргызской  Республикиосуществляют вынос границ в натуру (закрепление на местности),  выдаютправоудостоверяющие  документы  и  регистрируют  права  на   земельныйучасток.(В редакции постановления Правительства КР от </w:t>
      </w:r>
      <w:hyperlink w:history="1" r:id="rIdubqvjueyifqtt-lzkbwgh">
        <w:r>
          <w:rPr>
            <w:rFonts w:ascii="Arial" w:cs="Arial" w:eastAsia="Arial" w:hAnsi="Arial"/>
            <w:color w:val="1D4ED8"/>
            <w:sz w:val="24"/>
            <w:szCs w:val="24"/>
            <w:u w:val="single"/>
          </w:rPr>
          <w:t xml:space="preserve">2 июля 2004 года N 495</w:t>
        </w:r>
      </w:hyperlink>
      <w:r>
        <w:rPr>
          <w:rFonts w:ascii="Arial" w:cs="Arial" w:eastAsia="Arial" w:hAnsi="Arial"/>
          <w:sz w:val="24"/>
          <w:szCs w:val="24"/>
        </w:rPr>
        <w:t xml:space="preserve">)  36.  Заверенный главным архитектором и главой исполнительно-распоря-дительного  органа местного самоуправления или его заместителем проект границ придомового земельного участка является документом по регистра-ции прав на недвижимое имущество и  хранится в территориальных органах Государственного агентства по регистрации прав на  недвижимое  имущес-тво при Правительстве Кыргызской Республики, а также в территориальных  органах Государственной комиссии  при Правительстве Кыргызской Респуб-лики  по  архитектуре и  строительству, и  у  собственников  помещений многоквартирного дома либо у уполномоченных ими лиц.(В редакции постановления Правительства КР от </w:t>
      </w:r>
      <w:hyperlink w:history="1" r:id="rIdrcokomeldur5azlm242qc">
        <w:r>
          <w:rPr>
            <w:rFonts w:ascii="Arial" w:cs="Arial" w:eastAsia="Arial" w:hAnsi="Arial"/>
            <w:color w:val="1D4ED8"/>
            <w:sz w:val="24"/>
            <w:szCs w:val="24"/>
            <w:u w:val="single"/>
          </w:rPr>
          <w:t xml:space="preserve">2 июля 2004 года N 495</w:t>
        </w:r>
      </w:hyperlink>
      <w:r>
        <w:rPr>
          <w:rFonts w:ascii="Arial" w:cs="Arial" w:eastAsia="Arial" w:hAnsi="Arial"/>
          <w:sz w:val="24"/>
          <w:szCs w:val="24"/>
        </w:rPr>
        <w:t xml:space="preserve">)                                  Приложение          Максимальные и минимальные нормативные размеры площади                    придомового земельного участка               (В редакции постановления Правительства КР от                     </w:t>
      </w:r>
      <w:hyperlink w:history="1" r:id="rIdw8tvzg9cphyoascoepz1s">
        <w:r>
          <w:rPr>
            <w:rFonts w:ascii="Arial" w:cs="Arial" w:eastAsia="Arial" w:hAnsi="Arial"/>
            <w:color w:val="1D4ED8"/>
            <w:sz w:val="24"/>
            <w:szCs w:val="24"/>
            <w:u w:val="single"/>
          </w:rPr>
          <w:t xml:space="preserve">22 сентября 2005 года №448</w:t>
        </w:r>
      </w:hyperlink>
      <w:r>
        <w:rPr>
          <w:rFonts w:ascii="Arial" w:cs="Arial" w:eastAsia="Arial" w:hAnsi="Arial"/>
          <w:sz w:val="24"/>
          <w:szCs w:val="24"/>
        </w:rPr>
        <w:t xml:space="preserve">)-----------------------------------------------------------------------|N|   Типы  |  Виды домов по количеству квартир  |   Минимальные и    || |домов по |           и расположению           |максимальные размеры|| |этажности|                                    |      (кв.м на 1    || |         |                                    |       квартиру)    ||-|---------|------------------------------------|--------------------||1|   1-2   |2-3 кв. дома, расположенные в       |По нормам           || |         |сельских населенных пунктах, в      |индивидуального     || |         |зонах усадебной застройки на        |жилищного           || |         |периферии малых городов             |строительства       ||-|---------|------------------------------------|--------------------||2|   1-2   |4 и более квартирные дома,          |       180-300      || |         |расположенные в сельских населенных |                    || |         |пунктах и на периферии малых и      |                    || |         |средних городов                     |                    ||-|---------|------------------------------------|--------------------||3|   1-2   |2-12 квартирные дома, расположенные |       115-150      || |         |в городах, кроме указанных в п.п. 1 |                    || |         |и 2 настоящего приложения           |                    ||-|---------|------------------------------------|--------------------||4|    2    |13 и более квартирные дома,         |        90-115      || |         |расположенные в городах, кроме      |                    || |         |указанных в п.п. 1 и 2 настоящего   |                    || |         |приложения                          |                    ||-|---------|------------------------------------|--------------------||5|    3    |Дома, расположенные в городах       |        60-90       ||-|---------|------------------------------------|--------------------||6|   4-5   |Дома, расположенные в городах, кроме|        50-80       || |         |центральной части крупных и         |                    || |         |крупнейших городов                  |                    ||-|---------|------------------------------------|--------------------||7|   4-5   |Дома, расположенные в центральной   |        35-50       || |         |части крупных и крупнейших городов  |                    ||-|---------|------------------------------------|--------------------||8|   6-9   |Во всех городах                     |        30-40       ||-|---------|------------------------------------|--------------------||9|Более 9  |Во всех городах                     |        25-35       |-----------------------------------------------------------------------  Примечание:  1.  В  условиях  реконструкции центральных  и  исторических  районовгородов  минимальные нормативные размеры площади придомовых  земельныхучастков могут быть уменьшены до 10 процентов.  2. С учетом местных условий максимальные нормативные размеры площадипридомовых  земельных участков в малых городах и  сельских  населенныхпунктах могут быть увеличены до 10 процентов.  3.  Максимальные  нормативные размеры площади  придомовых  земельныхучастков  могут  быть увеличены, если после определения  их  границ  всоответствии  с  настоящим  Положением  между  придомовыми   участкамиобразуется территория, на которой согласно градостроительным нормам неможет быть размещено перспективное строительство.  4.   Максимальные   и   минимальные  нормативные   размеры   площадипридомового  земельного  участка, приведенные в  настоящем  Приложениисоставлены на основании строительных норм и правил.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t3bz11i7aecwu4qqaycb">
      <w:r>
        <w:rPr>
          <w:rFonts w:ascii="Arial" w:cs="Arial" w:eastAsia="Arial" w:hAnsi="Arial"/>
          <w:color w:val="132D3F"/>
          <w:sz w:val="16"/>
          <w:szCs w:val="16"/>
          <w:u w:val="single"/>
        </w:rPr>
        <w:t xml:space="preserve">dalil.kg/document/49259</w:t>
      </w:r>
    </w:hyperlink>
  </w:p>
  <w:p>
    <w:pPr>
      <w:spacing w:after="0" w:before="40"/>
      <w:jc w:val="center"/>
    </w:pPr>
    <w:hyperlink w:history="1" r:id="rIdlihpuxsmemqmodid3-qj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tbdanm7va7zdv_ptmqe0" Type="http://schemas.openxmlformats.org/officeDocument/2006/relationships/hyperlink" Target="https://dalil.kg/document/59740" TargetMode="External"/><Relationship Id="rIds8-xqhlfjhcth8biumj_p" Type="http://schemas.openxmlformats.org/officeDocument/2006/relationships/hyperlink" Target="https://dalil.kg/document/54717" TargetMode="External"/><Relationship Id="rId4zbv_dbx-tbbo3fvkpdle" Type="http://schemas.openxmlformats.org/officeDocument/2006/relationships/hyperlink" Target="https://dalil.kg/document/55540" TargetMode="External"/><Relationship Id="rIdwxxwhf9rpylbze_wo3s0v" Type="http://schemas.openxmlformats.org/officeDocument/2006/relationships/hyperlink" Target="https://dalil.kg/document/56576" TargetMode="External"/><Relationship Id="rIdhr4xn86eqr0w26eufzyg8" Type="http://schemas.openxmlformats.org/officeDocument/2006/relationships/hyperlink" Target="https://dalil.kg/document/4" TargetMode="External"/><Relationship Id="rIdngzpqgoqpkx-1--hf4noc" Type="http://schemas.openxmlformats.org/officeDocument/2006/relationships/hyperlink" Target="https://dalil.kg/document/8" TargetMode="External"/><Relationship Id="rIdstopzlkpintddipyxbbts" Type="http://schemas.openxmlformats.org/officeDocument/2006/relationships/hyperlink" Target="https://dalil.kg/document/577" TargetMode="External"/><Relationship Id="rIdw7opkxxqg2m-uqw27let5" Type="http://schemas.openxmlformats.org/officeDocument/2006/relationships/hyperlink" Target="https://dalil.kg/document/55540" TargetMode="External"/><Relationship Id="rIdlnrquzfz74lofazv5sdnm" Type="http://schemas.openxmlformats.org/officeDocument/2006/relationships/hyperlink" Target="https://dalil.kg/document/55540" TargetMode="External"/><Relationship Id="rIdzxy_gwwjruokyubvptwki" Type="http://schemas.openxmlformats.org/officeDocument/2006/relationships/hyperlink" Target="https://dalil.kg/document/55540" TargetMode="External"/><Relationship Id="rId1m6w4fy_4kwbghirpvqz_" Type="http://schemas.openxmlformats.org/officeDocument/2006/relationships/hyperlink" Target="https://dalil.kg/document/55540" TargetMode="External"/><Relationship Id="rIdtk2px-r8fv-50vzvmjdby" Type="http://schemas.openxmlformats.org/officeDocument/2006/relationships/hyperlink" Target="https://dalil.kg/document/55540" TargetMode="External"/><Relationship Id="rIdh2tf2u6yrt70tiimgexuz" Type="http://schemas.openxmlformats.org/officeDocument/2006/relationships/hyperlink" Target="https://dalil.kg/document/55540" TargetMode="External"/><Relationship Id="rId-ahi8sc_uvcfmq67iahf4" Type="http://schemas.openxmlformats.org/officeDocument/2006/relationships/hyperlink" Target="https://dalil.kg/document/55540" TargetMode="External"/><Relationship Id="rIdubqvjueyifqtt-lzkbwgh" Type="http://schemas.openxmlformats.org/officeDocument/2006/relationships/hyperlink" Target="https://dalil.kg/document/55540" TargetMode="External"/><Relationship Id="rIdrcokomeldur5azlm242qc" Type="http://schemas.openxmlformats.org/officeDocument/2006/relationships/hyperlink" Target="https://dalil.kg/document/55540" TargetMode="External"/><Relationship Id="rIdw8tvzg9cphyoascoepz1s" Type="http://schemas.openxmlformats.org/officeDocument/2006/relationships/hyperlink" Target="https://dalil.kg/document/56576"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t3bz11i7aecwu4qqaycb" Type="http://schemas.openxmlformats.org/officeDocument/2006/relationships/hyperlink" Target="https://dalil.kg/document/49259" TargetMode="External"/><Relationship Id="rIdlihpuxsmemqmodid3-qj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2026-09-23T22:16:25.762Z</dcterms:created>
  <dcterms:modified xsi:type="dcterms:W3CDTF">2026-09-23T22:16:25.762Z</dcterms:modified>
</cp:coreProperties>
</file>

<file path=docProps/custom.xml><?xml version="1.0" encoding="utf-8"?>
<Properties xmlns="http://schemas.openxmlformats.org/officeDocument/2006/custom-properties" xmlns:vt="http://schemas.openxmlformats.org/officeDocument/2006/docPropsVTypes"/>
</file>