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ПЕТРОВКСКИЙ АЙЫЛЬНЫЙ 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Очередной открытой ХV сессии ХХVII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</w:t>
      </w:r>
      <w:r>
        <w:rPr>
          <w:rFonts w:ascii="Arial" w:cs="Arial" w:eastAsia="Arial" w:hAnsi="Arial"/>
          <w:sz w:val="24"/>
          <w:szCs w:val="24"/>
        </w:rPr>
        <w:t xml:space="preserve">201</w:t>
      </w:r>
      <w:r>
        <w:rPr>
          <w:rFonts w:ascii="Arial" w:cs="Arial" w:eastAsia="Arial" w:hAnsi="Arial"/>
          <w:sz w:val="24"/>
          <w:szCs w:val="24"/>
        </w:rPr>
        <w:t xml:space="preserve">8 года </w:t>
      </w:r>
      <w:r>
        <w:rPr>
          <w:rFonts w:ascii="Arial" w:cs="Arial" w:eastAsia="Arial" w:hAnsi="Arial"/>
          <w:sz w:val="24"/>
          <w:szCs w:val="24"/>
        </w:rPr>
        <w:t xml:space="preserve">№64-2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«Союзе местных самоуправлений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письмо Союза местных самоуправлений Кыргызской Республики от 23 августа 2018 года № 104/18 на основании статьи 13 </w:t>
      </w:r>
      <w:hyperlink w:history="1" r:id="rIdcpvlniumxkxrpyynite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и о вступление в члены союза местных самоуправлений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Кенеш Петровского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Вступить в состав Союза местных самоуправлений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Согласно Устава «Союза местных самуправлений Кыргызской Республики» ежегодно уплачивать членские взносы в размере 1 сом с одного человека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Поручить главе Петровского айыл окмоту Астарову Д.Б. проводить совместную работу с Союзом местных самоуправлений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Уразбакиева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js220fx3uzxkotvds_h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dalil.kg/document/500941</w:t>
      </w:r>
    </w:hyperlink>
  </w:p>
  <w:p>
    <w:pPr>
      <w:spacing w:after="0" w:before="40"/>
      <w:jc w:val="center"/>
    </w:pPr>
    <w:hyperlink w:history="1" r:id="rIdh6mk8yn2x3l-lyszkik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pvlniumxkxrpyynitels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js220fx3uzxkotvds_h4" Type="http://schemas.openxmlformats.org/officeDocument/2006/relationships/hyperlink" Target="https://dalil.kg/document/500941" TargetMode="External"/><Relationship Id="rIdh6mk8yn2x3l-lyszkikj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2026-10-05T08:06:10.202Z</dcterms:created>
  <dcterms:modified xsi:type="dcterms:W3CDTF">2026-10-05T08:06:10.202Z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