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mslr3heaqc378c-rul7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utpzdy_oi8tofdbleg5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fnqs64flhehisaet7j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d8mxx-qyzvc_vqd5a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moqtkmlkgq9nh_zpe74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ny1t4x5wjm-9sbictg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-hlbu6uhv3upzlei9_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(Утверждены </w:t>
      </w:r>
      <w:hyperlink w:history="1" r:id="rIdmhxijgw92jml8bf9eh7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hyperlink w:history="1" r:id="rIdnmn6muy7ad836xitze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</w:t>
      </w:r>
      <w:r>
        <w:rPr>
          <w:rFonts w:ascii="Arial" w:cs="Arial" w:eastAsia="Arial" w:hAnsi="Arial"/>
          <w:sz w:val="24"/>
          <w:szCs w:val="24"/>
        </w:rPr>
        <w:t xml:space="preserve"> -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 </w:t>
      </w:r>
      <w:r>
        <w:rPr>
          <w:rFonts w:ascii="Arial" w:cs="Arial" w:eastAsia="Arial" w:hAnsi="Arial"/>
          <w:sz w:val="24"/>
          <w:szCs w:val="24"/>
        </w:rPr>
        <w:t xml:space="preserve">-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градостроительство</w:t>
      </w:r>
      <w:r>
        <w:rPr>
          <w:rFonts w:ascii="Arial" w:cs="Arial" w:eastAsia="Arial" w:hAnsi="Arial"/>
          <w:sz w:val="24"/>
          <w:szCs w:val="24"/>
        </w:rPr>
        <w:t xml:space="preserve"> – деятельность юридических и физических лиц в области планировки и застройки населенных пунктов и отдельных территорий, охватывающая решение сложного комплекса общественно-экономических, строительно-технических, архитектурно-художественных, санитарно-гигиенических и экологических проблем и направленная на преодоление монотонности типовой застройки, научно-обоснованную реконструкцию сложившейся застройки, с отражением национальных особенностей страны, включая строительство и проектирование опасных производственных объектов, водных плотин и сооружений, объектов почтовой и электрической связи, электростанций и подстанций других видов строительства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деятельность (далее - градостроительство)</w:t>
      </w:r>
      <w:r>
        <w:rPr>
          <w:rFonts w:ascii="Arial" w:cs="Arial" w:eastAsia="Arial" w:hAnsi="Arial"/>
          <w:sz w:val="24"/>
          <w:szCs w:val="24"/>
        </w:rPr>
        <w:t xml:space="preserve"> 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городских и сельских населенных пунктов,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 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рационального землепользования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обеспечение упорядочения застройки и землепользования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устойчивого развития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сбалансированного учета экологических, экономических, социальных и иных факторов при землепользовании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соблюдение норм и правил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установлению правил землепользования и застройки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застройки, землепользования и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по рациональному использованию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установлению правил землепользования и застройки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генеральные планы проектов застройки сельских населенных пунктов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проведение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рациональному использованию земель, находящихся в муниципальной собственности, а также земель Государственного фонда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установлению правил землепользования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 и правил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установлению правил землепользования и застройки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застройки, землепользования и благоустройства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единый порядок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и градостроительный кадастры, схемы и проекты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рациональному использованию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дифференцированные ставки налога за пользование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kywv87rzk2qjowtf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dalil.kg/document/510291</w:t>
      </w:r>
    </w:hyperlink>
  </w:p>
  <w:p>
    <w:pPr>
      <w:spacing w:after="0" w:before="40"/>
      <w:jc w:val="center"/>
    </w:pPr>
    <w:hyperlink w:history="1" r:id="rIdd6t4wlwffcbw827yth7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lr3heaqc378c-rul7rc" Type="http://schemas.openxmlformats.org/officeDocument/2006/relationships/hyperlink" Target="https://dalil.kg/document/112213" TargetMode="External"/><Relationship Id="rIdutpzdy_oi8tofdbleg5zn" Type="http://schemas.openxmlformats.org/officeDocument/2006/relationships/hyperlink" Target="https://dalil.kg/document/111338" TargetMode="External"/><Relationship Id="rIdfnqs64flhehisaet7jwzw" Type="http://schemas.openxmlformats.org/officeDocument/2006/relationships/hyperlink" Target="https://dalil.kg/document/8" TargetMode="External"/><Relationship Id="rIddd8mxx-qyzvc_vqd5awxi" Type="http://schemas.openxmlformats.org/officeDocument/2006/relationships/hyperlink" Target="https://dalil.kg/document/203926" TargetMode="External"/><Relationship Id="rIdmoqtkmlkgq9nh_zpe7494" Type="http://schemas.openxmlformats.org/officeDocument/2006/relationships/hyperlink" Target="https://dalil.kg/document/112302" TargetMode="External"/><Relationship Id="rIdny1t4x5wjm-9sbictgjuf" Type="http://schemas.openxmlformats.org/officeDocument/2006/relationships/hyperlink" Target="https://dalil.kg/document/716" TargetMode="External"/><Relationship Id="rId-hlbu6uhv3upzlei9_d4v" Type="http://schemas.openxmlformats.org/officeDocument/2006/relationships/hyperlink" Target="https://dalil.kg/document/90260" TargetMode="External"/><Relationship Id="rIdmhxijgw92jml8bf9eh7wa" Type="http://schemas.openxmlformats.org/officeDocument/2006/relationships/hyperlink" Target="https://dalil.kg/document/90256" TargetMode="External"/><Relationship Id="rIdnmn6muy7ad836xitzecmz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kywv87rzk2qjowtfrri" Type="http://schemas.openxmlformats.org/officeDocument/2006/relationships/hyperlink" Target="https://dalil.kg/document/510291" TargetMode="External"/><Relationship Id="rIdd6t4wlwffcbw827yth7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2026-09-30T16:46:55.665Z</dcterms:created>
  <dcterms:modified xsi:type="dcterms:W3CDTF">2026-09-30T16:46:55.665Z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