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СОГЛАШЕНИЕ
 о порядке обращения в рамках Евразийского экономического союза продукции, требования к которой не установлены техническими регламентами Евразийского экономического союза, и правилах обеспечения безопасности такой продукции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г.Москва, от 3 февраля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Государства - члены Евразийского экономического союза, именуемые в дальнейшем государствами-членами,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основываясь на положениях </w:t>
      </w:r>
      <w:r>
        <w:rPr>
          <w:rFonts w:ascii="Arial" w:cs="Arial" w:eastAsia="Arial" w:hAnsi="Arial"/>
          <w:sz w:val="22"/>
          <w:szCs w:val="22"/>
        </w:rPr>
        <w:t xml:space="preserve">Договора</w:t>
      </w:r>
      <w:r>
        <w:rPr>
          <w:rFonts w:ascii="Arial" w:cs="Arial" w:eastAsia="Arial" w:hAnsi="Arial"/>
          <w:sz w:val="22"/>
          <w:szCs w:val="22"/>
        </w:rPr>
        <w:t xml:space="preserve"> о Евразийском экономическом союзе от 29 мая 2014 года (далее - Договор),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исходя из необходимости обеспечения в рамках Евразийского экономического союза (далее - Союз) производства и обращения безопасной продукции,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Соглашение определяет порядок обращения в рамках Союза продукции, не включенной в единый перечень продукции, в отношении которой устанавливаются обязательные требования в рамках Союза (далее - единый перечень), а также продукции, включенной в единый перечень, но в отношении которой не приняты или не вступили в силу технические регламенты Союза, за исключением продукции, указанной в пункте 2 настоящей статьи, и правила обеспечения безопасности такой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Положения настоящего Соглашения не применяются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оборонной продукции (работ, услуг) для обеспечения интересов обороны и безопасности, в том числе поставляемой по государственному оборонному заказу, продукции (работ, услуг), используемой в целях защиты сведений, составляющих государственную тайну (государственные секреты) или относящихся к охраняемой в соответствии с законодательством государств-членов иной информации ограниченного доступа, продукции (работ, услуг), сведения о которой составляют государственную тайну (государственные секреты), продукции (работ, услуг) и объектов, для которых устанавливаются требования, связанные с обеспечением безопасности в области использования атомной энергии, а также процессов проектирования (включая изыскания), производства, строительства, монтажа, наладки, эксплуатации, хранения, перевозки, реализации, утилизации, захоронения указанной продукции и указанных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продукции, бывшей в употреблении;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медицинских изделий (изделий медицинского назначения и медицинской техники).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Настоящее Соглашение не распространяется на правоотношения, связанные с применением санитарных, ветеринарно-санитарных и карантинных фитосанитарных мер.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целей настоящего Соглашения используются понятия, которые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"безопасная продукция"</w:t>
      </w:r>
      <w:r>
        <w:rPr>
          <w:rFonts w:ascii="Arial" w:cs="Arial" w:eastAsia="Arial" w:hAnsi="Arial"/>
          <w:sz w:val="22"/>
          <w:szCs w:val="22"/>
        </w:rPr>
        <w:t xml:space="preserve"> - продукция, которая при выполнении условий эксплуатации (использования, применения) с учетом ее характеристик и потребительских свойств (включая состав, срок годности (срок службы), а также при необходимости условия монтажа, наладки, эксплуатации, хранения, перевозки, реализации и утилизации, в том числе потребность в обслуживании) не представляет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"изъятие продукции"</w:t>
      </w:r>
      <w:r>
        <w:rPr>
          <w:rFonts w:ascii="Arial" w:cs="Arial" w:eastAsia="Arial" w:hAnsi="Arial"/>
          <w:sz w:val="22"/>
          <w:szCs w:val="22"/>
        </w:rPr>
        <w:t xml:space="preserve"> - мероприятие, направленное на предотвращение выпуска в обращение и обращения в рамках Союза опасной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"маркировка"</w:t>
      </w:r>
      <w:r>
        <w:rPr>
          <w:rFonts w:ascii="Arial" w:cs="Arial" w:eastAsia="Arial" w:hAnsi="Arial"/>
          <w:sz w:val="22"/>
          <w:szCs w:val="22"/>
        </w:rPr>
        <w:t xml:space="preserve"> - информация в виде знаков, символов, надписей, рисунков и иных обозначений, наносимая на продукцию, упаковку, ярлык, этикетку, лист-вкладыш или на иной установленный законодательством государств-членов вид носителя информации, прикрепленного к упаковке, помещенного в нее или прилагаемого к ней, и предназначенная для обеспечения идентификации продукции и информирования приобретателя (потребителя) о ее составе, потребительских свойствах и рекомендациях по эксплуатации (использованию, применению);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"обращение продукции"</w:t>
      </w:r>
      <w:r>
        <w:rPr>
          <w:rFonts w:ascii="Arial" w:cs="Arial" w:eastAsia="Arial" w:hAnsi="Arial"/>
          <w:sz w:val="22"/>
          <w:szCs w:val="22"/>
        </w:rPr>
        <w:t xml:space="preserve"> - процессы движения продукции от изготовителя к приобретателю (потребителю) после ее поставки или ввоза (в том числе после отправки со склада изготовителя или отгрузки без складирования) с целью распространения на территориях государств-членов в ходе коммерческой деятельности на безвозмездной или возмездной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"опасная продукция"</w:t>
      </w:r>
      <w:r>
        <w:rPr>
          <w:rFonts w:ascii="Arial" w:cs="Arial" w:eastAsia="Arial" w:hAnsi="Arial"/>
          <w:sz w:val="22"/>
          <w:szCs w:val="22"/>
        </w:rPr>
        <w:t xml:space="preserve"> - продукция, которая при выполнении условий эксплуатации (использования, применения) с учетом ее характеристик и потребительских свойств (включая состав, срок годности (срок службы), а также при необходимости условия монтажа, наладки, эксплуатации, хранения, перевозки, реализации и утилизации, в том числе потребность в обслуживании) представляет риск;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"отзыв продукции"</w:t>
      </w:r>
      <w:r>
        <w:rPr>
          <w:rFonts w:ascii="Arial" w:cs="Arial" w:eastAsia="Arial" w:hAnsi="Arial"/>
          <w:sz w:val="22"/>
          <w:szCs w:val="22"/>
        </w:rPr>
        <w:t xml:space="preserve"> - мероприятие, направленное на возврат (в том числе временный) опасной продукции, выпущенной в обращение и обращаемой в рамках Союза, а также опасной продукции, реализованной приобретателю (потребителю);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"потребитель"</w:t>
      </w:r>
      <w:r>
        <w:rPr>
          <w:rFonts w:ascii="Arial" w:cs="Arial" w:eastAsia="Arial" w:hAnsi="Arial"/>
          <w:sz w:val="22"/>
          <w:szCs w:val="22"/>
        </w:rPr>
        <w:t xml:space="preserve"> - физическое лицо, имеющее намерение заказать (приобрести) либо заказывающее (приобретающее, использующее) продукцию исключительно для личных (бытовых) нужд, не связанных с осуществлением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"приобретатель"</w:t>
      </w:r>
      <w:r>
        <w:rPr>
          <w:rFonts w:ascii="Arial" w:cs="Arial" w:eastAsia="Arial" w:hAnsi="Arial"/>
          <w:sz w:val="22"/>
          <w:szCs w:val="22"/>
        </w:rPr>
        <w:t xml:space="preserve"> - юридическое или физическое лицо, в том числе потребитель, имеющее намерение заказать (приобрести) либо заказывающее (приобретающее, использующее) продукцию для использования в любых законных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Иные понятия, используемые в настоящем Соглашении, применяются в значениях, определенных Договором.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Безопасность продукции, указанной в пункте 1 </w:t>
      </w:r>
      <w:r>
        <w:rPr>
          <w:rFonts w:ascii="Arial" w:cs="Arial" w:eastAsia="Arial" w:hAnsi="Arial"/>
          <w:sz w:val="22"/>
          <w:szCs w:val="22"/>
        </w:rPr>
        <w:t xml:space="preserve">статьи 1</w:t>
      </w:r>
      <w:r>
        <w:rPr>
          <w:rFonts w:ascii="Arial" w:cs="Arial" w:eastAsia="Arial" w:hAnsi="Arial"/>
          <w:sz w:val="22"/>
          <w:szCs w:val="22"/>
        </w:rPr>
        <w:t xml:space="preserve"> настоящего Соглашения, обеспечивается юридическими лицами или физическими лицами, зарегистрированными в качестве индивидуальных предпринимателей, их уполномоченными представителями, в том числе изготовителями, уполномоченными изготовителем лицами, импортерами и продавцами, осуществляющими производство и (или) реализацию продукции, на всех стадиях ее жизненного цикла (при проектировании (включая изыскания), производстве, строительстве, монтаже, наладке, эксплуатации, хранении, перевозке, реализации и утилизации) в соответствии с законодательством государств-членов с учетом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Ответственность за выпуск в обращение и обращение в рамках Союза опасной продукции устанавливается в соответствии с законодательством государств-членов.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При разработке (проектировании) продукции, указанной в пункте 1 </w:t>
      </w:r>
      <w:r>
        <w:rPr>
          <w:rFonts w:ascii="Arial" w:cs="Arial" w:eastAsia="Arial" w:hAnsi="Arial"/>
          <w:sz w:val="22"/>
          <w:szCs w:val="22"/>
        </w:rPr>
        <w:t xml:space="preserve">статьи 1 </w:t>
      </w:r>
      <w:r>
        <w:rPr>
          <w:rFonts w:ascii="Arial" w:cs="Arial" w:eastAsia="Arial" w:hAnsi="Arial"/>
          <w:sz w:val="22"/>
          <w:szCs w:val="22"/>
        </w:rPr>
        <w:t xml:space="preserve">настоящего Соглашения, должны применяться технические решения, позволяющие установить свойства (показатели, характеристики) продукции, обеспечивающие ее безопасность. В случае необходимости должны быть предусмотрены системы (элементы) безопасности, обеспечивающие защиту от возможных рисков, и (или) должна быть представлена информация о безопасных условиях эксплуатации (использования, применения) продукции, в том числе для отдельных категорий потребителей, особенно уязвимых для рисков, которые может представлять такая продукция при ее эксплуатации (использовании, применении).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При производстве продукции, указанной в пункте 1 </w:t>
      </w:r>
      <w:r>
        <w:rPr>
          <w:rFonts w:ascii="Arial" w:cs="Arial" w:eastAsia="Arial" w:hAnsi="Arial"/>
          <w:sz w:val="22"/>
          <w:szCs w:val="22"/>
        </w:rPr>
        <w:t xml:space="preserve">статьи 1 </w:t>
      </w:r>
      <w:r>
        <w:rPr>
          <w:rFonts w:ascii="Arial" w:cs="Arial" w:eastAsia="Arial" w:hAnsi="Arial"/>
          <w:sz w:val="22"/>
          <w:szCs w:val="22"/>
        </w:rPr>
        <w:t xml:space="preserve">настоящего Соглашения, должна быть обеспечена стабильность свойств (показателей, характеристик) безопасности на заданном при разработке (проектировании) такой продукции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При обращении в рамках Союза продукции, указанной в пункте 1 </w:t>
      </w:r>
      <w:r>
        <w:rPr>
          <w:rFonts w:ascii="Arial" w:cs="Arial" w:eastAsia="Arial" w:hAnsi="Arial"/>
          <w:sz w:val="22"/>
          <w:szCs w:val="22"/>
        </w:rPr>
        <w:t xml:space="preserve">статьи 1</w:t>
      </w:r>
      <w:r>
        <w:rPr>
          <w:rFonts w:ascii="Arial" w:cs="Arial" w:eastAsia="Arial" w:hAnsi="Arial"/>
          <w:sz w:val="22"/>
          <w:szCs w:val="22"/>
        </w:rPr>
        <w:t xml:space="preserve"> настоящего Соглашения, должно быть обеспечено сохранение свойств (показателей, характеристик) безопасности продукции на заданном при разработке (проектировании) и производстве такой продукции уровне с учетом срока годности (срока службы).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В целях обеспечения безопасности продукции, не включенной в единый перечень, а также продукции, включенной в единый перечень, но в отношении которой не установлены в соответствии с законодательством государств-членов обязательные требования безопасности, изготовитель (уполномоченное изготовителем лицо) должен исходить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необходимости учета характеристик продукции (включая ее состав), требований к упаковке, наличия инструкции (руководства) по ее эксплуатации (использованию, применению) и при необходимости инструкции по ее монтажу, пуску, регулированию и обкатке;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сведений о влиянии такой продукции на другую продукцию при наличии информации или обоснованных предположений о возможности использования данной продукции совместно с другой продукцией;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необходимости предоставления приобретателю (потребителю) информации о продукции и ее маркировке, а также предоставления инструкции (руководства) по ее эксплуатации (использованию, применению), утилизации и (или) других указаний, в том числе иной информации о данной продукции (включая в отдельных случаях рекомендации и (или) ограничения по ее использованию в течение срока годности (срока службы)), а также информации о возможных рисках, которые могут представлять монтаж, наладка, эксплуатация (использование, применение) продукции, и при необходимости способах их устранения;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обоснованных предположений о возможности применения продукции не по назначению, когда такое применение может представлять риск;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необходимости предоставления информации об эксплуатации (использовании, применении) продукции отдельными категориями потребителей, в том числе несовершеннолетними, беременными женщинами, кормящими матерями, инвалидами.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Изготовитель (уполномоченное изготовителем лицо) обеспечивает безопасность указанной в пункте 1 настоящей статьи продукции, ее соответствие заявленным в маркировке свойствам и сведениям об основных потребительских свойствах и безопасности продукции, предоставленным изготовителем приобретателю (потребителю) (при условии соблюдения установленных изготовителем рекомендаций (указаний) и (или) ограничений по эксплуатации (использованию, применению) в течение установленного изготовителем срока годности (срока службы) продукции).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Применение изготовителем на добровольной основе при производстве продукции, указанной в пункте 1 настоящей статьи, межгосударственных стандартов и (или) национальных (государственных) стандартов государств-членов, действие которых распространяется на указанную продукцию, является достаточным условием для соблюдения требований, указанных в пункте 2 настоящей статьи, и обеспечения безопасности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Неприменение межгосударственных стандартов и (или) национальных (государственных) стандартов государств-членов, действие которых распространяется на такую продукцию, не может рассматриваться как несоблюдение требований, указанных в пункте 2 настоящей статьи, и не может являться условием для рассмотрения продукции в качестве опасной.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В целях обеспечения безопасности эксплуатации (использования, применения) продукции, указанной в пункте 1 настоящей статьи, ее хранения, транспортировки и утилизации продавец (импортер) обязан соблюдать условия, установленные изготовителем, и обязан довести их до сведения приобретателя (потребителя), в том числе посредством их включения в сопроводительную документацию на продукцию, ее маркировку или иным способом.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В целях обеспечения безопасности включенной в единый перечень продукции, в отношении которой не приняты или не вступили в силу технические регламенты Союза, государства-члены могут устанавливать в своем законодательстве правила выпуска продукции в обращение и обязательные требования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Такая продукция, в отношении которой действуют в соответствии с законодательством государств-членов обязательные требования безопасности, считается безопасной при условии ее соответствия указанным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Информация об обязательных требованиях безопасности в отношении продукции, указанной в пункте 1 настоящей статьи, формах оценки соответствия такой продукции указанным требованиям, а также об органах, осуществляющих оценку соответствия такой продукции (с указанием наименований такой продукции и документов, устанавливающих обязательные требования безопасности), направляется государствами-членами в Евразийскую экономическую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Евразийская экономическая комиссия обеспечивает размещение указанной информации на официальном сайте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Государства-члены информируют друг друга и Евразийскую экономическую комиссию об установлении правил выпуска в обращение и обязательных требований безопасности в отношении включенной в единый перечень продукции, в отношении которой не приняты или не вступили в силу технические регламенты Союза, не позднее чем за 180 календарных дней до даты вступления указанных норм в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В целях обеспечения безопасности продукции, не включенной в единый перечень, а также включенной в единый перечень продукции, в отношении которой не приняты или не вступили в силу технические регламенты Союза и не установлены в соответствии с законодательством государств-членов обязательные требования безопасности, государства-члены в соответствии со своим законодательством принимают меры по предотвращению причинения вреда, связанного с обращением опасной продукции, в случае ее выявления (в том числе по изъятию и отзыву опасной продукции).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 целях реализации настоящего Соглашения государства-члены обеспечивают проведение в соответствии со своим законодательством мониторинга безопасности продукции, в том числе осуществляют сбор и анализ информации о выявленных случаях причинения вреда, связанного с обращением опасной продукции, и степени риска причинения вреда и (или) нанесения ущерба жизни и (или) здоровью человека, имуществу, окружающей среде, жизни и (или) здоровью животных и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Информация о выявленных случаях причинения вреда, связанного с обращением опасной продукции, и (или) нанесения ущерба жизни и (или) здоровью человека, имуществу, окружающей среде, жизни и (или) здоровью животных и растений подлежит размещению в общих информационных ресурсах интегрированной информационной системы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Порядок представления, сбора, обобщения информации и ее размещения в общих информационных ресурсах интегрированной информационной системы Союза определяется Евразийской экономической комиссией.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Споры между государствами-членами, связанные с применением и (или) толкованием настоящего Соглашения, разрешаются в порядке, определенном Договором.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Соглашение является международным договором, заключенным в рамках Союза, и входит в право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Настоящее Соглашение вступает в силу по истечении 30 календарных дней с даты получения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вступления настоящего Соглашения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По взаимному согласию государств-членов в настоящее Соглашение могут быть внесены изменения, которые оформляются отдельными протоколами и являются неотъемлемой частью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Совершено в городе Москве 3 февраля 2020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Подлинный экземпляр настоящего Соглашения хранится в Евразийской экономической комиссии, которая, являясь депозитарием настоящего Соглашения, направит каждому государству-члену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 Республику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 Республику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 Российскую Федерацию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Настоящим удостоверяю, что данный текст является полной и аутентичной копией Соглашения о порядке обращения в рамках Евразийского экономического союза продукции, требования к которой не установлены техническими регламентами Евразийского экономического союза, и правилах обеспечения безопасности такой продукции, подписанного 3 февраля 2020 г. в городе Москве: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 Республику Армения Вице-премьер-министром Республики Армения М.Г.Григоряном;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 Республику Беларусь Заместителем Премьер-министра Республики Беларусь И.В.Петришенко;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 Республику Казахстан - Первым заместителем Премьер-Министра Республики Казахстан - Министром финансов Республики Казахстан А.А.Смаиловым;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 Кыргызскую Республику - Вице-премьер-министром Кыргызской Республики Ж.П.Разаковым;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 Российскую Федерацию - Первым заместителем Председателя Правительства Российской Федерации - Министром финансов Российской Федерации А.Г.Силуановым.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Подлинный экземпляр хранится в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Директор Правового департамента Евразийской экономической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В.Тараскин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rqrxuq97dygprofpo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dalil.kg/document/530200</w:t>
      </w:r>
    </w:hyperlink>
  </w:p>
  <w:p>
    <w:pPr>
      <w:spacing w:after="0" w:before="40"/>
      <w:jc w:val="center"/>
    </w:pPr>
    <w:hyperlink w:history="1" r:id="rIdiwxd0w7brsvbl5pocnl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rqrxuq97dygprofpoyg" Type="http://schemas.openxmlformats.org/officeDocument/2006/relationships/hyperlink" Target="https://dalil.kg/document/530200" TargetMode="External"/><Relationship Id="rIdiwxd0w7brsvbl5pocnl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2026-10-01T19:25:22.757Z</dcterms:created>
  <dcterms:modified xsi:type="dcterms:W3CDTF">2026-10-01T19:25:22.757Z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