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ecpbo43ed7cuu7ehqxjx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25 октября 2013 года № 579</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погребении и похоронном деле» </w:t>
      </w:r>
    </w:p>
    <w:p>
      <w:pPr>
        <w:spacing w:after="120"/>
        <w:jc w:val="both"/>
      </w:pPr>
      <w:r>
        <w:rPr>
          <w:rFonts w:ascii="Arial" w:cs="Arial" w:eastAsia="Arial" w:hAnsi="Arial"/>
          <w:sz w:val="24"/>
          <w:szCs w:val="24"/>
        </w:rPr>
        <w:t xml:space="preserve">В соответствии со статьей 80 </w:t>
      </w:r>
      <w:hyperlink w:history="1" r:id="rIdukao2l4bbsgnbs8nuxbw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31 </w:t>
      </w:r>
      <w:hyperlink w:history="1" r:id="rId5vmblcwwotodr_matxjql">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1. Одобрить прилагаемое </w:t>
      </w:r>
      <w:hyperlink w:history="1" r:id="rIdopb9uo39jmz6sgiwabkxh">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погребении и похоронном деле», инициированный депутатами Жогорку Кенеша Кыргызской Республики Левиной Т.В., Бадыкеевой Н.Н., Скрипкиной Г.А., Бекешовым Д.Д., Бакир уулу Т., Кочкаровой Э.А.</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w:t>
      </w:r>
      <w:hyperlink w:history="1" r:id="rIdl9mg3ovq5kadj8so-3ez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октября 2013 года № 579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Правительства Кыргызской Республики на проект Закона Кыргызской Республики 
 «О погребении и похоронном деле»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80 </w:t>
      </w:r>
      <w:hyperlink w:history="1" r:id="rIdfhxrofuxyukcxlhdwcvp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31 </w:t>
      </w:r>
      <w:hyperlink w:history="1" r:id="rIdxki6cx8wf1ws2dqnkae3_">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погребении и похоронном деле», инициированный депутатами Жогорку Кенеша Кыргызской Республики Левиной Т.В., Бадыкеевой Н.Н., Скрипкиной Г.А., Бекешевым Д.Д., Бакир уулу Турсунбаем и Кочкаровой Э.А., Правительство Кыргызской Республики сообщает следующее.</w:t>
      </w:r>
    </w:p>
    <w:p>
      <w:pPr>
        <w:spacing w:after="120"/>
        <w:jc w:val="both"/>
      </w:pPr>
      <w:r>
        <w:rPr>
          <w:rFonts w:ascii="Arial" w:cs="Arial" w:eastAsia="Arial" w:hAnsi="Arial"/>
          <w:sz w:val="24"/>
          <w:szCs w:val="24"/>
        </w:rPr>
        <w:t xml:space="preserve">Статьи 2, 5, 7, 9, 11, 18 и 25 проекта Закона требуют доработки редакционного характера. Часть 5 статьи 16 дублирует часть 2 статьи 5, а части 5 и 6 статьи 17 проекта дублируют часть 3 статьи 5 проекта Закона.</w:t>
      </w:r>
    </w:p>
    <w:p>
      <w:pPr>
        <w:spacing w:after="120"/>
        <w:jc w:val="both"/>
      </w:pPr>
      <w:r>
        <w:rPr>
          <w:rFonts w:ascii="Arial" w:cs="Arial" w:eastAsia="Arial" w:hAnsi="Arial"/>
          <w:sz w:val="24"/>
          <w:szCs w:val="24"/>
        </w:rPr>
        <w:t xml:space="preserve">В статье 2 проекта Закона понятие «волеизъявление умершего» предлагаем изложить в следующей редакции: «волеизъявление умершего - нотариально оформленное пожелание, выраженное в устной (в присутствии свидетелей) или письменной форме быть погребенным в том или ином месте, по тем или другим обычаям и традициям, рядом с теми или иными ранее умершими лицами, о согласии или несогласии быть подвергнутым патологоанатомическому вскрытию, о согласии или несогласии на изъятие органов и (или) тканей из его останков, о желании быть подвергнутым кремации, о доверии исполнить свое последнее волеизъявление тому или иному лицу».</w:t>
      </w:r>
    </w:p>
    <w:p>
      <w:pPr>
        <w:spacing w:after="120"/>
        <w:jc w:val="both"/>
      </w:pPr>
      <w:r>
        <w:rPr>
          <w:rFonts w:ascii="Arial" w:cs="Arial" w:eastAsia="Arial" w:hAnsi="Arial"/>
          <w:sz w:val="24"/>
          <w:szCs w:val="24"/>
        </w:rPr>
        <w:t xml:space="preserve">Данный факт влечет за собой наступление определенных правовых последствий. Согласно </w:t>
      </w:r>
      <w:hyperlink w:history="1" r:id="rIdyhky-saxjpngusqftjrfv">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нотариате» нотариальные действия представляют собой действия нотариуса по удостоверению бесспорных фактов, правовых событий, имеющих юридическое значение, свидетельствование документов, придание документам исполнительной силы и юридической достоверности и другие действия, направленные на защиту прав граждан и юридических лиц, их законных интересов.</w:t>
      </w:r>
    </w:p>
    <w:p>
      <w:pPr>
        <w:spacing w:after="120"/>
        <w:jc w:val="both"/>
      </w:pPr>
      <w:r>
        <w:rPr>
          <w:rFonts w:ascii="Arial" w:cs="Arial" w:eastAsia="Arial" w:hAnsi="Arial"/>
          <w:sz w:val="24"/>
          <w:szCs w:val="24"/>
        </w:rPr>
        <w:t xml:space="preserve">Правовое определение функционирования кладбищ, в котором будут регламентироваться вероисповедальные места захоронения, положительным образом отразится и на конституционных правах граждан на свободу вероисповедания, исключая практически вероятность конфликтов между последователями различных верований, поскольку детонатором конфликтов является вопрос о вероисповедальном захоронении.</w:t>
      </w:r>
    </w:p>
    <w:p>
      <w:pPr>
        <w:spacing w:after="120"/>
        <w:jc w:val="both"/>
      </w:pPr>
      <w:r>
        <w:rPr>
          <w:rFonts w:ascii="Arial" w:cs="Arial" w:eastAsia="Arial" w:hAnsi="Arial"/>
          <w:sz w:val="24"/>
          <w:szCs w:val="24"/>
        </w:rPr>
        <w:t xml:space="preserve">Статью 2 проекта Закона предлагаем дополнить абзацем следующего содержания: «Вероисповедальное место погребения - кладбище, предназначенное для погребения умерших одной веры».</w:t>
      </w:r>
    </w:p>
    <w:p>
      <w:pPr>
        <w:spacing w:after="120"/>
        <w:jc w:val="both"/>
      </w:pPr>
      <w:r>
        <w:rPr>
          <w:rFonts w:ascii="Arial" w:cs="Arial" w:eastAsia="Arial" w:hAnsi="Arial"/>
          <w:sz w:val="24"/>
          <w:szCs w:val="24"/>
        </w:rPr>
        <w:t xml:space="preserve">В данной статье законопроекта под ритуальными организациями планируется определить хозяйствующие субъекты, осуществляющие предпринимательскую деятельность в сфере ритуальных услуг.</w:t>
      </w:r>
    </w:p>
    <w:p>
      <w:pPr>
        <w:spacing w:after="120"/>
        <w:jc w:val="both"/>
      </w:pPr>
      <w:r>
        <w:rPr>
          <w:rFonts w:ascii="Arial" w:cs="Arial" w:eastAsia="Arial" w:hAnsi="Arial"/>
          <w:sz w:val="24"/>
          <w:szCs w:val="24"/>
        </w:rPr>
        <w:t xml:space="preserve">Вместе с тем, необходимо отметить, что согласно </w:t>
      </w:r>
      <w:r>
        <w:rPr>
          <w:rFonts w:ascii="Arial" w:cs="Arial" w:eastAsia="Arial" w:hAnsi="Arial"/>
          <w:sz w:val="24"/>
          <w:szCs w:val="24"/>
        </w:rPr>
        <w:t xml:space="preserve">статье 1</w:t>
      </w:r>
      <w:r>
        <w:rPr>
          <w:rFonts w:ascii="Arial" w:cs="Arial" w:eastAsia="Arial" w:hAnsi="Arial"/>
          <w:sz w:val="24"/>
          <w:szCs w:val="24"/>
        </w:rPr>
        <w:t xml:space="preserve"> </w:t>
      </w:r>
      <w:hyperlink w:history="1" r:id="rIdjsdtlwnduf2v4gmp0efk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хозяйственных товариществах и обществах» хозяйственным товариществом и обществом признаются коммерческие организации с уставным капиталом, разделенным на доли (вклады), основной целью деятельности которых является извлечение прибыли. Имущество, созданное за счет вкладов участников, а также произведенное и приобретенное хозяйственным товариществом и обществом в процессе его деятельности, принадлежит ему на праве собственности.</w:t>
      </w:r>
    </w:p>
    <w:p>
      <w:pPr>
        <w:spacing w:after="120"/>
        <w:jc w:val="both"/>
      </w:pPr>
      <w:r>
        <w:rPr>
          <w:rFonts w:ascii="Arial" w:cs="Arial" w:eastAsia="Arial" w:hAnsi="Arial"/>
          <w:sz w:val="24"/>
          <w:szCs w:val="24"/>
        </w:rPr>
        <w:t xml:space="preserve">Хозяйственные товарищества и общества могут создаваться в форме полного товарищества, коммандитного товарищества, общества с ограниченной ответственностью, общества с дополнительной ответственностью.</w:t>
      </w:r>
    </w:p>
    <w:p>
      <w:pPr>
        <w:spacing w:after="120"/>
        <w:jc w:val="both"/>
      </w:pPr>
      <w:r>
        <w:rPr>
          <w:rFonts w:ascii="Arial" w:cs="Arial" w:eastAsia="Arial" w:hAnsi="Arial"/>
          <w:sz w:val="24"/>
          <w:szCs w:val="24"/>
        </w:rPr>
        <w:t xml:space="preserve">В связи с этим законодательством Кыргызской Республики не предусмотрено использование термина «хозяйствующие субъекты».</w:t>
      </w:r>
    </w:p>
    <w:p>
      <w:pPr>
        <w:spacing w:after="120"/>
        <w:jc w:val="both"/>
      </w:pPr>
      <w:r>
        <w:rPr>
          <w:rFonts w:ascii="Arial" w:cs="Arial" w:eastAsia="Arial" w:hAnsi="Arial"/>
          <w:sz w:val="24"/>
          <w:szCs w:val="24"/>
        </w:rPr>
        <w:t xml:space="preserve">В проекте Закона используется понятие «селитебная территория». Однако </w:t>
      </w:r>
      <w:r>
        <w:rPr>
          <w:rFonts w:ascii="Arial" w:cs="Arial" w:eastAsia="Arial" w:hAnsi="Arial"/>
          <w:sz w:val="24"/>
          <w:szCs w:val="24"/>
        </w:rPr>
        <w:t xml:space="preserve">Земельный </w:t>
      </w:r>
      <w:hyperlink w:history="1" r:id="rIdd8rrta5ctiolsek4qod8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регулирует земельные отношения в Кыргызской Республике, основания возникновения, порядок осуществления и прекращения прав на землю и их регистрацию, а также направлен на создание земельно-рыночных отношений в условиях государственной, муниципальной и частной собственности на землю, рациональное использование земли и ее охрану. Данный нормативный правовой акт Кыргызской Республики не предусматривает регулирование правоотношений в области таких категорий земель, как «селитебная территория».</w:t>
      </w:r>
    </w:p>
    <w:p>
      <w:pPr>
        <w:spacing w:after="120"/>
        <w:jc w:val="both"/>
      </w:pPr>
      <w:r>
        <w:rPr>
          <w:rFonts w:ascii="Arial" w:cs="Arial" w:eastAsia="Arial" w:hAnsi="Arial"/>
          <w:sz w:val="24"/>
          <w:szCs w:val="24"/>
        </w:rPr>
        <w:t xml:space="preserve">Согласно </w:t>
      </w:r>
      <w:r>
        <w:rPr>
          <w:rFonts w:ascii="Arial" w:cs="Arial" w:eastAsia="Arial" w:hAnsi="Arial"/>
          <w:sz w:val="24"/>
          <w:szCs w:val="24"/>
        </w:rPr>
        <w:t xml:space="preserve">пункту 3 статьи 6</w:t>
      </w:r>
      <w:r>
        <w:rPr>
          <w:rFonts w:ascii="Arial" w:cs="Arial" w:eastAsia="Arial" w:hAnsi="Arial"/>
          <w:sz w:val="24"/>
          <w:szCs w:val="24"/>
        </w:rPr>
        <w:t xml:space="preserve"> </w:t>
      </w:r>
      <w:hyperlink w:history="1" r:id="rId8dsydzudv8kdo57zxfyi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w:t>
      </w:r>
    </w:p>
    <w:p>
      <w:pPr>
        <w:spacing w:after="120"/>
        <w:jc w:val="both"/>
      </w:pPr>
      <w:r>
        <w:rPr>
          <w:rFonts w:ascii="Arial" w:cs="Arial" w:eastAsia="Arial" w:hAnsi="Arial"/>
          <w:sz w:val="24"/>
          <w:szCs w:val="24"/>
        </w:rPr>
        <w:t xml:space="preserve">В связи с этим статью 3 проекта Закона после слов «не противоречащих настоящему Закону, а также..» предлагаем изложить в следующей редакции: «вступившими в установленном законом порядке в силу международными договорами, участницей которых является Кыргызская Республика, а также общепризнанными принципами и нормами международного права, являющимися составной частью правовой системы Кыргызской Республики».</w:t>
      </w:r>
    </w:p>
    <w:p>
      <w:pPr>
        <w:spacing w:after="120"/>
        <w:jc w:val="both"/>
      </w:pPr>
      <w:r>
        <w:rPr>
          <w:rFonts w:ascii="Arial" w:cs="Arial" w:eastAsia="Arial" w:hAnsi="Arial"/>
          <w:sz w:val="24"/>
          <w:szCs w:val="24"/>
        </w:rPr>
        <w:t xml:space="preserve">Частями 2 и 3 статьи 5 проекта Закона предусматривается урегулирование вопроса сноса и переноса мест погребения. Вместе с тем, мероприятие по перенесению мест погребения потребует немалых финансовых средств, поскольку возникнет вопрос о выделении участка для переноса и вытекающие из этого другие организационные вопросы, что, возможно, окажет отрицательное влияние на бюджет республики. В связи с этим указанные положения требуют проведения тщательного анализа и пересмотра.</w:t>
      </w:r>
    </w:p>
    <w:p>
      <w:pPr>
        <w:spacing w:after="120"/>
        <w:jc w:val="both"/>
      </w:pPr>
      <w:r>
        <w:rPr>
          <w:rFonts w:ascii="Arial" w:cs="Arial" w:eastAsia="Arial" w:hAnsi="Arial"/>
          <w:sz w:val="24"/>
          <w:szCs w:val="24"/>
        </w:rPr>
        <w:t xml:space="preserve">В части 3 статьи 5 следует уточнить, под посадку каких именно категорий зеленых насаждений могут быть использованы указанные территории (парковые зоны, сады, скверы и т.д.).</w:t>
      </w:r>
    </w:p>
    <w:p>
      <w:pPr>
        <w:spacing w:after="120"/>
        <w:jc w:val="both"/>
      </w:pPr>
      <w:r>
        <w:rPr>
          <w:rFonts w:ascii="Arial" w:cs="Arial" w:eastAsia="Arial" w:hAnsi="Arial"/>
          <w:sz w:val="24"/>
          <w:szCs w:val="24"/>
        </w:rPr>
        <w:t xml:space="preserve">Частью 1 статьи 6 проекта Закона указывается, что действия по достойному отношению к телу умершего должны осуществляться в полном соответствии с волеизъявлением умершего, если не возникли обстоятельства, при которых их исполнение невозможно. В данной норме полагаем необходимым перечислить обстоятельства, вследствие которых исполнение волеизъявления умершего окажется невозможным. Слова «......, либо иное не противоречащее законодательству Кыргызской Республики» предлагаем исключить.</w:t>
      </w:r>
    </w:p>
    <w:p>
      <w:pPr>
        <w:spacing w:after="120"/>
        <w:jc w:val="both"/>
      </w:pPr>
      <w:r>
        <w:rPr>
          <w:rFonts w:ascii="Arial" w:cs="Arial" w:eastAsia="Arial" w:hAnsi="Arial"/>
          <w:sz w:val="24"/>
          <w:szCs w:val="24"/>
        </w:rPr>
        <w:t xml:space="preserve">В статье 7 проекта Закона предлагаем:</w:t>
      </w:r>
    </w:p>
    <w:p>
      <w:pPr>
        <w:spacing w:after="120"/>
        <w:jc w:val="both"/>
      </w:pPr>
      <w:r>
        <w:rPr>
          <w:rFonts w:ascii="Arial" w:cs="Arial" w:eastAsia="Arial" w:hAnsi="Arial"/>
          <w:sz w:val="24"/>
          <w:szCs w:val="24"/>
        </w:rPr>
        <w:t xml:space="preserve">- первое предложение части 2 изложить в следующей редакции: «Погребение останков рядом с ранее умершими родственниками гарантируется в случае наличия свободного участка земли»;</w:t>
      </w:r>
    </w:p>
    <w:p>
      <w:pPr>
        <w:spacing w:after="120"/>
        <w:jc w:val="both"/>
      </w:pPr>
      <w:r>
        <w:rPr>
          <w:rFonts w:ascii="Arial" w:cs="Arial" w:eastAsia="Arial" w:hAnsi="Arial"/>
          <w:sz w:val="24"/>
          <w:szCs w:val="24"/>
        </w:rPr>
        <w:t xml:space="preserve">- в целях исключения коррупциогенных норм в части 2 привести исчерпывающий перечень случаев, когда специализированная служба по вопросам похоронного дела имеет право определять возможность исполнения волеизъявления умершего о погребении его тела (останков) или праха на указанном им месте погребения;</w:t>
      </w:r>
    </w:p>
    <w:p>
      <w:pPr>
        <w:spacing w:after="120"/>
        <w:jc w:val="both"/>
      </w:pPr>
      <w:r>
        <w:rPr>
          <w:rFonts w:ascii="Arial" w:cs="Arial" w:eastAsia="Arial" w:hAnsi="Arial"/>
          <w:sz w:val="24"/>
          <w:szCs w:val="24"/>
        </w:rPr>
        <w:t xml:space="preserve">- в части 4 слова «консульские и дипломатические службы Министерства иностранных дел» заменить словами «дипломатические представительства (посольства) и консульские учреждения», поскольку согласно </w:t>
      </w:r>
      <w:r>
        <w:rPr>
          <w:rFonts w:ascii="Arial" w:cs="Arial" w:eastAsia="Arial" w:hAnsi="Arial"/>
          <w:sz w:val="24"/>
          <w:szCs w:val="24"/>
        </w:rPr>
        <w:t xml:space="preserve">статье 4</w:t>
      </w:r>
      <w:r>
        <w:rPr>
          <w:rFonts w:ascii="Arial" w:cs="Arial" w:eastAsia="Arial" w:hAnsi="Arial"/>
          <w:sz w:val="24"/>
          <w:szCs w:val="24"/>
        </w:rPr>
        <w:t xml:space="preserve"> </w:t>
      </w:r>
      <w:hyperlink w:history="1" r:id="rIdz5mhqmgejlummszfhcqs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дипломатической службе» под дипломатическим представительством (посольством) Кыргызской Республики следует понимать государственный орган внешних сношений Кыргызской Республики, осуществляющий представительство Кыргызской Республики в иностранном государстве, под консульским учреждением Кыргызской Республики (генеральное консульство, консульство, вице-консульство или консульское агентство) - государственный орган Кыргызской Республики, осуществляющий в пределах соответствующего консульского округа на территории иностранного государства консульские функции от имени Кыргызской Республики.</w:t>
      </w:r>
    </w:p>
    <w:p>
      <w:pPr>
        <w:spacing w:after="120"/>
        <w:jc w:val="both"/>
      </w:pPr>
      <w:r>
        <w:rPr>
          <w:rFonts w:ascii="Arial" w:cs="Arial" w:eastAsia="Arial" w:hAnsi="Arial"/>
          <w:sz w:val="24"/>
          <w:szCs w:val="24"/>
        </w:rPr>
        <w:t xml:space="preserve">В целях предотвращения распространения особо опасных инфекционных заболеваний, на основании нормативных документов органов, осуществляющих государственный санитарно-эпидемиологический надзор, предлагаем главу 2 дополнить статьей следующего содержания: «Погребение умерших от карантинных и особо опасных инфекций и инфекций неясной этиологии, в целях предотвращения распространения особо опасных инфекционных заболеваний проводится на основании нормативных документов органов, осуществляющих государственный санитарно-эпидемиологический надзор».</w:t>
      </w:r>
    </w:p>
    <w:p>
      <w:pPr>
        <w:spacing w:after="120"/>
        <w:jc w:val="both"/>
      </w:pPr>
      <w:r>
        <w:rPr>
          <w:rFonts w:ascii="Arial" w:cs="Arial" w:eastAsia="Arial" w:hAnsi="Arial"/>
          <w:sz w:val="24"/>
          <w:szCs w:val="24"/>
        </w:rPr>
        <w:t xml:space="preserve">Следует привести в соответствие временные сроки, предусмотренные в пунктах 1 и 2 статьи 8 проекта Закона. Так, в пункте 1 временный срок определен в количестве двух суток, в пункте 2 - в количестве пяти суток.</w:t>
      </w:r>
    </w:p>
    <w:p>
      <w:pPr>
        <w:spacing w:after="120"/>
        <w:jc w:val="both"/>
      </w:pPr>
      <w:r>
        <w:rPr>
          <w:rFonts w:ascii="Arial" w:cs="Arial" w:eastAsia="Arial" w:hAnsi="Arial"/>
          <w:sz w:val="24"/>
          <w:szCs w:val="24"/>
        </w:rPr>
        <w:t xml:space="preserve">В статье 9 проекта Закона предлагаем дополнить словом «представительными» абзац второй пункта 4 части 1 после слова «устанавливаемым» и часть 3 после слова «определяется».</w:t>
      </w:r>
    </w:p>
    <w:p>
      <w:pPr>
        <w:spacing w:after="120"/>
        <w:jc w:val="both"/>
      </w:pPr>
      <w:r>
        <w:rPr>
          <w:rFonts w:ascii="Arial" w:cs="Arial" w:eastAsia="Arial" w:hAnsi="Arial"/>
          <w:sz w:val="24"/>
          <w:szCs w:val="24"/>
        </w:rPr>
        <w:t xml:space="preserve">Согласно </w:t>
      </w:r>
      <w:r>
        <w:rPr>
          <w:rFonts w:ascii="Arial" w:cs="Arial" w:eastAsia="Arial" w:hAnsi="Arial"/>
          <w:sz w:val="24"/>
          <w:szCs w:val="24"/>
        </w:rPr>
        <w:t xml:space="preserve">статье 5</w:t>
      </w:r>
      <w:r>
        <w:rPr>
          <w:rFonts w:ascii="Arial" w:cs="Arial" w:eastAsia="Arial" w:hAnsi="Arial"/>
          <w:sz w:val="24"/>
          <w:szCs w:val="24"/>
        </w:rPr>
        <w:t xml:space="preserve"> </w:t>
      </w:r>
      <w:hyperlink w:history="1" r:id="rIdefjxzdzgtglluwlcpf3w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к числу нормотворческих органов, наделенных правом принимать (издавать) нормативные правовые акты, отнесены представительные органы местного самоуправления.</w:t>
      </w:r>
    </w:p>
    <w:p>
      <w:pPr>
        <w:spacing w:after="120"/>
        <w:jc w:val="both"/>
      </w:pPr>
      <w:r>
        <w:rPr>
          <w:rFonts w:ascii="Arial" w:cs="Arial" w:eastAsia="Arial" w:hAnsi="Arial"/>
          <w:sz w:val="24"/>
          <w:szCs w:val="24"/>
        </w:rPr>
        <w:t xml:space="preserve">Пункт 3 части 1 статьи 9 проекта Закона предлагаем после слов «перевозка тела умершего на кладбище (в крематорий)» дополнить словами «осуществляется катафальным транспортом».</w:t>
      </w:r>
    </w:p>
    <w:p>
      <w:pPr>
        <w:spacing w:after="120"/>
        <w:jc w:val="both"/>
      </w:pPr>
      <w:r>
        <w:rPr>
          <w:rFonts w:ascii="Arial" w:cs="Arial" w:eastAsia="Arial" w:hAnsi="Arial"/>
          <w:sz w:val="24"/>
          <w:szCs w:val="24"/>
        </w:rPr>
        <w:t xml:space="preserve">Часть 1 статьи 9 проекта Закона дополнить нормой, предусматривающей, что перечень услуг на погребение, оказываемых на безвозмездной основе, определяется Правительством Кыргызской Республики.</w:t>
      </w:r>
    </w:p>
    <w:p>
      <w:pPr>
        <w:spacing w:after="120"/>
        <w:jc w:val="both"/>
      </w:pPr>
      <w:r>
        <w:rPr>
          <w:rFonts w:ascii="Arial" w:cs="Arial" w:eastAsia="Arial" w:hAnsi="Arial"/>
          <w:sz w:val="24"/>
          <w:szCs w:val="24"/>
        </w:rPr>
        <w:t xml:space="preserve">Пособие на погребение выплачивается из трех источников: республиканского, местного бюджетов и бюджета Социального фонда Кыргызской Республики.</w:t>
      </w:r>
    </w:p>
    <w:p>
      <w:pPr>
        <w:spacing w:after="120"/>
        <w:jc w:val="both"/>
      </w:pPr>
      <w:r>
        <w:rPr>
          <w:rFonts w:ascii="Arial" w:cs="Arial" w:eastAsia="Arial" w:hAnsi="Arial"/>
          <w:sz w:val="24"/>
          <w:szCs w:val="24"/>
        </w:rPr>
        <w:t xml:space="preserve">В части 3 статьи 9 проекта Закона установлено, что стоимость услуг, предоставляемых согласно гарантированному перечню услуг по погребению, определяется органами местного самоуправления и возмещается специализированной службе по вопросам похоронного дела в соответствии с законодательством Кыргызской Республики. При этом необходимо отметить неясность предлагаемой редакции. В частности, неясно, из каких средств и кем будут возмещаться затраты, связанные с предоставлением гарантированного перечня услуг по погребению специализированной службой по вопросам похоронного дела. В статье 2 проекта Закона предусмотрено, что специализированной службой по вопросам похоронного дела будет являться служба органа местного самоуправления, осуществляющая погребение умерших и оказание услуг по погребению.</w:t>
      </w:r>
    </w:p>
    <w:p>
      <w:pPr>
        <w:spacing w:after="120"/>
        <w:jc w:val="both"/>
      </w:pPr>
      <w:r>
        <w:rPr>
          <w:rFonts w:ascii="Arial" w:cs="Arial" w:eastAsia="Arial" w:hAnsi="Arial"/>
          <w:sz w:val="24"/>
          <w:szCs w:val="24"/>
        </w:rPr>
        <w:t xml:space="preserve">В части 4 статьи 9 проекта Закона необходимо предусмотреть, что указанное содействие оказывают органы государственной власти, органы местного самоуправления, консульские и дипломатические службы Министерства иностранных дел Кыргызской Республики, а также ритуальные организации.</w:t>
      </w:r>
    </w:p>
    <w:p>
      <w:pPr>
        <w:spacing w:after="120"/>
        <w:jc w:val="both"/>
      </w:pPr>
      <w:r>
        <w:rPr>
          <w:rFonts w:ascii="Arial" w:cs="Arial" w:eastAsia="Arial" w:hAnsi="Arial"/>
          <w:sz w:val="24"/>
          <w:szCs w:val="24"/>
        </w:rPr>
        <w:t xml:space="preserve">В статье 11 проекта Закона в целях унификации понятия предлагаем, в части 1 слова «при прохождении» заменить словами «в период прохождения».</w:t>
      </w:r>
    </w:p>
    <w:p>
      <w:pPr>
        <w:spacing w:after="120"/>
        <w:jc w:val="both"/>
      </w:pPr>
      <w:r>
        <w:rPr>
          <w:rFonts w:ascii="Arial" w:cs="Arial" w:eastAsia="Arial" w:hAnsi="Arial"/>
          <w:sz w:val="24"/>
          <w:szCs w:val="24"/>
        </w:rPr>
        <w:t xml:space="preserve">В части 4 статьи 12 проекта Закона определение стоимости услуг по захоронению неопознанных тел и возмещение услуг на их погребение предлагаем возложить на органы местного самоуправления, так как, согласно </w:t>
      </w:r>
      <w:hyperlink w:history="1" r:id="rIdgvssz3l00w5yze-7u6v8a">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государственном социальном страховании», пособие на погребение незастрахованных граждан выплачивается из средств местного бюджета.</w:t>
      </w:r>
    </w:p>
    <w:p>
      <w:pPr>
        <w:spacing w:after="120"/>
        <w:jc w:val="both"/>
      </w:pPr>
      <w:r>
        <w:rPr>
          <w:rFonts w:ascii="Arial" w:cs="Arial" w:eastAsia="Arial" w:hAnsi="Arial"/>
          <w:sz w:val="24"/>
          <w:szCs w:val="24"/>
        </w:rPr>
        <w:t xml:space="preserve">Часть 1 статьи 14 после слов «в соответствии» дополнить словами «генеральными планами и схемами урегулирования застройки».</w:t>
      </w:r>
    </w:p>
    <w:p>
      <w:pPr>
        <w:spacing w:after="120"/>
        <w:jc w:val="both"/>
      </w:pPr>
      <w:r>
        <w:rPr>
          <w:rFonts w:ascii="Arial" w:cs="Arial" w:eastAsia="Arial" w:hAnsi="Arial"/>
          <w:sz w:val="24"/>
          <w:szCs w:val="24"/>
        </w:rPr>
        <w:t xml:space="preserve">В статье 18 проекта Закона предлагаем:</w:t>
      </w:r>
    </w:p>
    <w:p>
      <w:pPr>
        <w:spacing w:after="120"/>
        <w:jc w:val="both"/>
      </w:pPr>
      <w:r>
        <w:rPr>
          <w:rFonts w:ascii="Arial" w:cs="Arial" w:eastAsia="Arial" w:hAnsi="Arial"/>
          <w:sz w:val="24"/>
          <w:szCs w:val="24"/>
        </w:rPr>
        <w:t xml:space="preserve">- второе предложение части 4 исключить;</w:t>
      </w:r>
    </w:p>
    <w:p>
      <w:pPr>
        <w:spacing w:after="120"/>
        <w:jc w:val="both"/>
      </w:pPr>
      <w:r>
        <w:rPr>
          <w:rFonts w:ascii="Arial" w:cs="Arial" w:eastAsia="Arial" w:hAnsi="Arial"/>
          <w:sz w:val="24"/>
          <w:szCs w:val="24"/>
        </w:rPr>
        <w:t xml:space="preserve">- дополнить частью 5 следующего содержания: «Запрещаются поиск и вскрытие старых и вскрытие военных и ранее неизвестных захоронений гражданами или юридическими лицами, не имеющими официального разрешения на такую деятельность».</w:t>
      </w:r>
    </w:p>
    <w:p>
      <w:pPr>
        <w:spacing w:after="120"/>
        <w:jc w:val="both"/>
      </w:pPr>
      <w:r>
        <w:rPr>
          <w:rFonts w:ascii="Arial" w:cs="Arial" w:eastAsia="Arial" w:hAnsi="Arial"/>
          <w:sz w:val="24"/>
          <w:szCs w:val="24"/>
        </w:rPr>
        <w:t xml:space="preserve">В проекте Закона присутствуют статьи, положения которых являются предметом регулирования других нормативных правовых актов, регламентирующих соответствующую сферу общественных отношений.</w:t>
      </w:r>
    </w:p>
    <w:p>
      <w:pPr>
        <w:spacing w:after="120"/>
        <w:jc w:val="both"/>
      </w:pPr>
      <w:r>
        <w:rPr>
          <w:rFonts w:ascii="Arial" w:cs="Arial" w:eastAsia="Arial" w:hAnsi="Arial"/>
          <w:sz w:val="24"/>
          <w:szCs w:val="24"/>
        </w:rPr>
        <w:t xml:space="preserve">Так, порядок оказания социальной поддержки гражданам в случаях компенсации на оплату ритуальных услуг, а также порядок назначения, выплаты, размеры и источники финансирования пособия на погребение, предусмотренные статьями 8, 10, 12 и 24 проекта Закона, регламентируются законами Кыргызской Республики </w:t>
      </w:r>
      <w:r>
        <w:rPr>
          <w:rFonts w:ascii="Arial" w:cs="Arial" w:eastAsia="Arial" w:hAnsi="Arial"/>
          <w:sz w:val="24"/>
          <w:szCs w:val="24"/>
        </w:rPr>
        <w:t xml:space="preserve">«</w:t>
      </w:r>
      <w:hyperlink w:history="1" r:id="rIdvnirlp4-kajszeb-kiacy">
        <w:r>
          <w:rPr>
            <w:rFonts w:ascii="Arial" w:cs="Arial" w:eastAsia="Arial" w:hAnsi="Arial"/>
            <w:color w:val="1D4ED8"/>
            <w:sz w:val="24"/>
            <w:szCs w:val="24"/>
            <w:u w:val="single"/>
          </w:rPr>
          <w:t xml:space="preserve">О государственных пособиях в Кыргызской Республике</w:t>
        </w:r>
      </w:hyperlink>
      <w:r>
        <w:rPr>
          <w:rFonts w:ascii="Arial" w:cs="Arial" w:eastAsia="Arial" w:hAnsi="Arial"/>
          <w:sz w:val="24"/>
          <w:szCs w:val="24"/>
        </w:rPr>
        <w:t xml:space="preserve">», </w:t>
      </w:r>
      <w:r>
        <w:rPr>
          <w:rFonts w:ascii="Arial" w:cs="Arial" w:eastAsia="Arial" w:hAnsi="Arial"/>
          <w:sz w:val="24"/>
          <w:szCs w:val="24"/>
        </w:rPr>
        <w:t xml:space="preserve">«</w:t>
      </w:r>
      <w:hyperlink w:history="1" r:id="rIdrkgxabchlcqija5noddui">
        <w:r>
          <w:rPr>
            <w:rFonts w:ascii="Arial" w:cs="Arial" w:eastAsia="Arial" w:hAnsi="Arial"/>
            <w:color w:val="1D4ED8"/>
            <w:sz w:val="24"/>
            <w:szCs w:val="24"/>
            <w:u w:val="single"/>
          </w:rPr>
          <w:t xml:space="preserve">О пенсионном обеспечении военнослужащих</w:t>
        </w:r>
      </w:hyperlink>
      <w:r>
        <w:rPr>
          <w:rFonts w:ascii="Arial" w:cs="Arial" w:eastAsia="Arial" w:hAnsi="Arial"/>
          <w:sz w:val="24"/>
          <w:szCs w:val="24"/>
        </w:rPr>
        <w:t xml:space="preserve">» и </w:t>
      </w:r>
      <w:hyperlink w:history="1" r:id="rId1ftwb7kihfgjxyknsesig">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назначения, выплаты и размере ритуального пособия (на погребение), утвержденным </w:t>
      </w:r>
      <w:hyperlink w:history="1" r:id="rIdigwryrl0ewpcb-y9kh62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ноября 2011 года № 727.</w:t>
      </w:r>
    </w:p>
    <w:p>
      <w:pPr>
        <w:spacing w:after="120"/>
        <w:jc w:val="both"/>
      </w:pPr>
      <w:r>
        <w:rPr>
          <w:rFonts w:ascii="Arial" w:cs="Arial" w:eastAsia="Arial" w:hAnsi="Arial"/>
          <w:sz w:val="24"/>
          <w:szCs w:val="24"/>
        </w:rPr>
        <w:t xml:space="preserve">Относительно статьи 19 проекта Закона отмечаем, что правовые нормы в области охраны и использования объектов историко-культурного наследия на территории Кыргызской Республики, представляющих собой уникальную ценность для народа, регулируются </w:t>
      </w:r>
      <w:hyperlink w:history="1" r:id="rId1rkve4fa4enrbx_cqdua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охране и использовании историко-культурного наследия Кыргызской Республики», согласно которому историко-культурным наследием являются памятники истории и культуры, связанные с историческими событиями в жизни народа, развитием общества и государства, произведения материального и духовного творчества, представляющие историческую, научную, художественную или иную ценность. Памятники истории и культуры, находящиеся в собственности Кыргызской Республики и субъектов Кыргызской Республики, охраняются государством. </w:t>
      </w:r>
      <w:r>
        <w:rPr>
          <w:rFonts w:ascii="Arial" w:cs="Arial" w:eastAsia="Arial" w:hAnsi="Arial"/>
          <w:sz w:val="24"/>
          <w:szCs w:val="24"/>
        </w:rPr>
        <w:t xml:space="preserve">Статьей 4</w:t>
      </w:r>
      <w:r>
        <w:rPr>
          <w:rFonts w:ascii="Arial" w:cs="Arial" w:eastAsia="Arial" w:hAnsi="Arial"/>
          <w:sz w:val="24"/>
          <w:szCs w:val="24"/>
        </w:rPr>
        <w:t xml:space="preserve"> определены виды объектов историко-культурного наследия. Согласно </w:t>
      </w:r>
      <w:r>
        <w:rPr>
          <w:rFonts w:ascii="Arial" w:cs="Arial" w:eastAsia="Arial" w:hAnsi="Arial"/>
          <w:sz w:val="24"/>
          <w:szCs w:val="24"/>
        </w:rPr>
        <w:t xml:space="preserve">статье 6</w:t>
      </w:r>
      <w:r>
        <w:rPr>
          <w:rFonts w:ascii="Arial" w:cs="Arial" w:eastAsia="Arial" w:hAnsi="Arial"/>
          <w:sz w:val="24"/>
          <w:szCs w:val="24"/>
        </w:rPr>
        <w:t xml:space="preserve"> Закона признание объектов историко-культурным наследием закрепляется включением их в государственные списки памятников истории и культуры, подлежащие обязательному опубликованию. Кроме того, требуется в обязательном порядке проведение государственной историко-культурной экспертизы.</w:t>
      </w:r>
    </w:p>
    <w:p>
      <w:pPr>
        <w:spacing w:after="120"/>
        <w:jc w:val="both"/>
      </w:pPr>
      <w:r>
        <w:rPr>
          <w:rFonts w:ascii="Arial" w:cs="Arial" w:eastAsia="Arial" w:hAnsi="Arial"/>
          <w:sz w:val="24"/>
          <w:szCs w:val="24"/>
        </w:rPr>
        <w:t xml:space="preserve">В связи с этим части 1 и 3 статьи 19 проекта Закона считаем необходимым исключить. Часть 2, предусматривающую запрет погребения умерших на территориях, имеющих историко-культурное значение, предусмотреть структурным элементом статьи 14 проекта Закона.</w:t>
      </w:r>
    </w:p>
    <w:p>
      <w:pPr>
        <w:spacing w:after="120"/>
        <w:jc w:val="both"/>
      </w:pPr>
      <w:r>
        <w:rPr>
          <w:rFonts w:ascii="Arial" w:cs="Arial" w:eastAsia="Arial" w:hAnsi="Arial"/>
          <w:sz w:val="24"/>
          <w:szCs w:val="24"/>
        </w:rPr>
        <w:t xml:space="preserve">В представленном законопроекте отсутствуют положения, регламентирующие вышеуказанный порядок, а имеются лишь отсылочные нормы на нормативные правовые акты Правительства Кыргызской Республики.</w:t>
      </w:r>
    </w:p>
    <w:p>
      <w:pPr>
        <w:spacing w:after="120"/>
        <w:jc w:val="both"/>
      </w:pPr>
      <w:r>
        <w:rPr>
          <w:rFonts w:ascii="Arial" w:cs="Arial" w:eastAsia="Arial" w:hAnsi="Arial"/>
          <w:sz w:val="24"/>
          <w:szCs w:val="24"/>
        </w:rPr>
        <w:t xml:space="preserve">В части 3 статьи 22 проекта Закона указывается, что деятельность специализированных служб и ритуальных организаций будет осуществляться в порядке, определяемом Правительством Кыргызской Республики. Однако в соответствии со </w:t>
      </w:r>
      <w:r>
        <w:rPr>
          <w:rFonts w:ascii="Arial" w:cs="Arial" w:eastAsia="Arial" w:hAnsi="Arial"/>
          <w:sz w:val="24"/>
          <w:szCs w:val="24"/>
        </w:rPr>
        <w:t xml:space="preserve">статьей 3</w:t>
      </w:r>
      <w:r>
        <w:rPr>
          <w:rFonts w:ascii="Arial" w:cs="Arial" w:eastAsia="Arial" w:hAnsi="Arial"/>
          <w:sz w:val="24"/>
          <w:szCs w:val="24"/>
        </w:rPr>
        <w:t xml:space="preserve"> </w:t>
      </w:r>
      <w:hyperlink w:history="1" r:id="rId92ujmlyctzoahkne22yh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государственная власть основывается на принципе разграничения функций и полномочий государственных органов и органов местного самоуправления.</w:t>
      </w:r>
    </w:p>
    <w:p>
      <w:pPr>
        <w:spacing w:after="120"/>
        <w:jc w:val="both"/>
      </w:pPr>
      <w:r>
        <w:rPr>
          <w:rFonts w:ascii="Arial" w:cs="Arial" w:eastAsia="Arial" w:hAnsi="Arial"/>
          <w:sz w:val="24"/>
          <w:szCs w:val="24"/>
        </w:rPr>
        <w:t xml:space="preserve">Следует отметить, что содержание отсылочной нормы влечет за собой возникновение временного отрезка, в течение которого общественные отношения не будут урегулированы вследствие того, что норма прямого действия, на которую идет отсылка, еще не принята.</w:t>
      </w:r>
    </w:p>
    <w:p>
      <w:pPr>
        <w:spacing w:after="120"/>
        <w:jc w:val="both"/>
      </w:pPr>
      <w:r>
        <w:rPr>
          <w:rFonts w:ascii="Arial" w:cs="Arial" w:eastAsia="Arial" w:hAnsi="Arial"/>
          <w:sz w:val="24"/>
          <w:szCs w:val="24"/>
        </w:rPr>
        <w:t xml:space="preserve">Главу 4 проекта Закона предлагаем дополнить статьями следующего содержания: «Патолого-анатомические и органические операционные отходы (органы, ткани и т.п.) захораниваются на кладбищах в специально отведенных могилах по договорам со специализированной организацией, оказывающей данный вид услуг и имеющей лицензию на право по обращению с медицинскими отходами», «Использование автомашин, предназначенных для перевозки патолого-анатомических и органических операционных отходов, для других целей не допускается».</w:t>
      </w:r>
    </w:p>
    <w:p>
      <w:pPr>
        <w:spacing w:after="120"/>
        <w:jc w:val="both"/>
      </w:pPr>
      <w:r>
        <w:rPr>
          <w:rFonts w:ascii="Arial" w:cs="Arial" w:eastAsia="Arial" w:hAnsi="Arial"/>
          <w:sz w:val="24"/>
          <w:szCs w:val="24"/>
        </w:rPr>
        <w:t xml:space="preserve">Часть 1 статьи 25 проекта Закона после слов «со дня» дополнить словом «официального».</w:t>
      </w:r>
    </w:p>
    <w:p>
      <w:pPr>
        <w:spacing w:after="120"/>
        <w:jc w:val="both"/>
      </w:pPr>
      <w:r>
        <w:rPr>
          <w:rFonts w:ascii="Arial" w:cs="Arial" w:eastAsia="Arial" w:hAnsi="Arial"/>
          <w:sz w:val="24"/>
          <w:szCs w:val="24"/>
        </w:rPr>
        <w:t xml:space="preserve">Законопроектом затрагиваются вопросы финансирования из государственного бюджета. В связи с этим отмечаем, что в соответствии со статьей 80 </w:t>
      </w:r>
      <w:hyperlink w:history="1" r:id="rIdnzegmrpwz32doh-ythbc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w:t>
      </w:r>
      <w:r>
        <w:rPr>
          <w:rFonts w:ascii="Arial" w:cs="Arial" w:eastAsia="Arial" w:hAnsi="Arial"/>
          <w:sz w:val="24"/>
          <w:szCs w:val="24"/>
        </w:rPr>
        <w:t xml:space="preserve">статьей 26</w:t>
      </w:r>
      <w:r>
        <w:rPr>
          <w:rFonts w:ascii="Arial" w:cs="Arial" w:eastAsia="Arial" w:hAnsi="Arial"/>
          <w:sz w:val="24"/>
          <w:szCs w:val="24"/>
        </w:rPr>
        <w:t xml:space="preserve"> </w:t>
      </w:r>
      <w:hyperlink w:history="1" r:id="rIdj2cx1kro_aesz32xym2a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проекты законов, предусматривающие увеличение расходов, покрываемых за счет государственного бюджета, могут быть приняты Жогорку Кенешем Кыргызской Республики после определения Правительством Кыргызской Республики источника финансирования.</w:t>
      </w:r>
    </w:p>
    <w:p>
      <w:pPr>
        <w:spacing w:after="120"/>
        <w:jc w:val="both"/>
      </w:pPr>
      <w:r>
        <w:rPr>
          <w:rFonts w:ascii="Arial" w:cs="Arial" w:eastAsia="Arial" w:hAnsi="Arial"/>
          <w:sz w:val="24"/>
          <w:szCs w:val="24"/>
        </w:rPr>
        <w:t xml:space="preserve">Согласно </w:t>
      </w:r>
      <w:r>
        <w:rPr>
          <w:rFonts w:ascii="Arial" w:cs="Arial" w:eastAsia="Arial" w:hAnsi="Arial"/>
          <w:sz w:val="24"/>
          <w:szCs w:val="24"/>
        </w:rPr>
        <w:t xml:space="preserve">части 3 статьи 16</w:t>
      </w:r>
      <w:r>
        <w:rPr>
          <w:rFonts w:ascii="Arial" w:cs="Arial" w:eastAsia="Arial" w:hAnsi="Arial"/>
          <w:sz w:val="24"/>
          <w:szCs w:val="24"/>
        </w:rPr>
        <w:t xml:space="preserve"> </w:t>
      </w:r>
      <w:hyperlink w:history="1" r:id="rIdjquwxwbo0dbn3uc5mkox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свободе вероисповедания и религиозных организациях в Кыргызской Республике» признание правил пользования вероисповедальными кладбищами и положений о кладбищенских сборах регулируются положениями органов местного самоуправления.</w:t>
      </w:r>
    </w:p>
    <w:p>
      <w:pPr>
        <w:spacing w:after="120"/>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пунктом 8 части 1 статьи 18</w:t>
      </w:r>
      <w:r>
        <w:rPr>
          <w:rFonts w:ascii="Arial" w:cs="Arial" w:eastAsia="Arial" w:hAnsi="Arial"/>
          <w:sz w:val="24"/>
          <w:szCs w:val="24"/>
        </w:rPr>
        <w:t xml:space="preserve"> </w:t>
      </w:r>
      <w:hyperlink w:history="1" r:id="rIdltim6zphc_njt07xoqrb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обеспечение функционирования кладбищ и предоставление ритуальных услуг относится к ведению органов местного самоуправления.</w:t>
      </w:r>
    </w:p>
    <w:p>
      <w:pPr>
        <w:spacing w:after="120"/>
        <w:jc w:val="both"/>
      </w:pPr>
      <w:r>
        <w:rPr>
          <w:rFonts w:ascii="Arial" w:cs="Arial" w:eastAsia="Arial" w:hAnsi="Arial"/>
          <w:sz w:val="24"/>
          <w:szCs w:val="24"/>
        </w:rPr>
        <w:t xml:space="preserve">Проектом Закона определено, что ритуальные организации - хозяйствующие субъекты, осуществляющие предпринимательскую деятельность в сфере предоставления ритуальных услуг. Согласно </w:t>
      </w:r>
      <w:r>
        <w:rPr>
          <w:rFonts w:ascii="Arial" w:cs="Arial" w:eastAsia="Arial" w:hAnsi="Arial"/>
          <w:sz w:val="24"/>
          <w:szCs w:val="24"/>
        </w:rPr>
        <w:t xml:space="preserve">статье 19</w:t>
      </w:r>
      <w:r>
        <w:rPr>
          <w:rFonts w:ascii="Arial" w:cs="Arial" w:eastAsia="Arial" w:hAnsi="Arial"/>
          <w:sz w:val="24"/>
          <w:szCs w:val="24"/>
        </w:rPr>
        <w:t xml:space="preserve"> </w:t>
      </w:r>
      <w:hyperlink w:history="1" r:id="rIdu213djamokzmrlf0x0yv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проекты нормативных правовых актов, направленные на регулирование предпринимательской деятельности, подлежат анализу регулятивного воздействия в соответствии с методикой, утвержденной Правительством Кыргызской Республики. Анализ регулятивного воздействия осуществляется и обеспечивается разработчиком нормативного правового акта.</w:t>
      </w:r>
    </w:p>
    <w:p>
      <w:pPr>
        <w:spacing w:after="120"/>
        <w:jc w:val="both"/>
      </w:pPr>
      <w:r>
        <w:rPr>
          <w:rFonts w:ascii="Arial" w:cs="Arial" w:eastAsia="Arial" w:hAnsi="Arial"/>
          <w:sz w:val="24"/>
          <w:szCs w:val="24"/>
        </w:rPr>
        <w:t xml:space="preserve">На основании изложенного Правительство Кыргызской Республики считает целесообразным принятие предлагаемого проекта Закона Кыргызской Республики «О погребении и похоронном деле» с учетом замечаний и предложений, изложенных в настоящем заключении.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kkwhiltmodhptwurhzoi">
      <w:r>
        <w:rPr>
          <w:rFonts w:ascii="Arial" w:cs="Arial" w:eastAsia="Arial" w:hAnsi="Arial"/>
          <w:color w:val="132D3F"/>
          <w:sz w:val="16"/>
          <w:szCs w:val="16"/>
          <w:u w:val="single"/>
        </w:rPr>
        <w:t xml:space="preserve">dalil.kg/document/53036</w:t>
      </w:r>
    </w:hyperlink>
  </w:p>
  <w:p>
    <w:pPr>
      <w:spacing w:after="0" w:before="40"/>
      <w:jc w:val="center"/>
    </w:pPr>
    <w:hyperlink w:history="1" r:id="rIdn3pambup5s7vxatpwaa0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cpbo43ed7cuu7ehqxjx0" Type="http://schemas.openxmlformats.org/officeDocument/2006/relationships/hyperlink" Target="https://dalil.kg/document/159126" TargetMode="External"/><Relationship Id="rIdukao2l4bbsgnbs8nuxbwd" Type="http://schemas.openxmlformats.org/officeDocument/2006/relationships/hyperlink" Target="https://dalil.kg/document/202913" TargetMode="External"/><Relationship Id="rId5vmblcwwotodr_matxjql" Type="http://schemas.openxmlformats.org/officeDocument/2006/relationships/hyperlink" Target="https://dalil.kg/document/203685" TargetMode="External"/><Relationship Id="rIdopb9uo39jmz6sgiwabkxh" Type="http://schemas.openxmlformats.org/officeDocument/2006/relationships/hyperlink" Target="https://dalil.kg/document/53036#&#1088;1" TargetMode="External"/><Relationship Id="rIdl9mg3ovq5kadj8so-3ezf" Type="http://schemas.openxmlformats.org/officeDocument/2006/relationships/hyperlink" Target="https://dalil.kg/document/53036" TargetMode="External"/><Relationship Id="rIdfhxrofuxyukcxlhdwcvpu" Type="http://schemas.openxmlformats.org/officeDocument/2006/relationships/hyperlink" Target="https://dalil.kg/document/202913" TargetMode="External"/><Relationship Id="rIdxki6cx8wf1ws2dqnkae3_" Type="http://schemas.openxmlformats.org/officeDocument/2006/relationships/hyperlink" Target="https://dalil.kg/document/203685" TargetMode="External"/><Relationship Id="rIdyhky-saxjpngusqftjrfv" Type="http://schemas.openxmlformats.org/officeDocument/2006/relationships/hyperlink" Target="https://dalil.kg/document/78" TargetMode="External"/><Relationship Id="rIdjsdtlwnduf2v4gmp0efkw" Type="http://schemas.openxmlformats.org/officeDocument/2006/relationships/hyperlink" Target="https://dalil.kg/document/667" TargetMode="External"/><Relationship Id="rIdd8rrta5ctiolsek4qod8d" Type="http://schemas.openxmlformats.org/officeDocument/2006/relationships/hyperlink" Target="https://dalil.kg/document/8" TargetMode="External"/><Relationship Id="rId8dsydzudv8kdo57zxfyi8" Type="http://schemas.openxmlformats.org/officeDocument/2006/relationships/hyperlink" Target="https://dalil.kg/document/202913" TargetMode="External"/><Relationship Id="rIdz5mhqmgejlummszfhcqst" Type="http://schemas.openxmlformats.org/officeDocument/2006/relationships/hyperlink" Target="https://dalil.kg/document/203948" TargetMode="External"/><Relationship Id="rIdefjxzdzgtglluwlcpf3wd" Type="http://schemas.openxmlformats.org/officeDocument/2006/relationships/hyperlink" Target="https://dalil.kg/document/202591" TargetMode="External"/><Relationship Id="rIdgvssz3l00w5yze-7u6v8a" Type="http://schemas.openxmlformats.org/officeDocument/2006/relationships/hyperlink" Target="https://dalil.kg/document/627" TargetMode="External"/><Relationship Id="rIdvnirlp4-kajszeb-kiacy" Type="http://schemas.openxmlformats.org/officeDocument/2006/relationships/hyperlink" Target="https://dalil.kg/document/26" TargetMode="External"/><Relationship Id="rIdrkgxabchlcqija5noddui" Type="http://schemas.openxmlformats.org/officeDocument/2006/relationships/hyperlink" Target="https://dalil.kg/document/690" TargetMode="External"/><Relationship Id="rId1ftwb7kihfgjxyknsesig" Type="http://schemas.openxmlformats.org/officeDocument/2006/relationships/hyperlink" Target="https://dalil.kg/document/92726" TargetMode="External"/><Relationship Id="rIdigwryrl0ewpcb-y9kh62j" Type="http://schemas.openxmlformats.org/officeDocument/2006/relationships/hyperlink" Target="https://dalil.kg/document/92714" TargetMode="External"/><Relationship Id="rId1rkve4fa4enrbx_cqdua8" Type="http://schemas.openxmlformats.org/officeDocument/2006/relationships/hyperlink" Target="https://dalil.kg/document/254" TargetMode="External"/><Relationship Id="rId92ujmlyctzoahkne22yh2" Type="http://schemas.openxmlformats.org/officeDocument/2006/relationships/hyperlink" Target="https://dalil.kg/document/202913" TargetMode="External"/><Relationship Id="rIdnzegmrpwz32doh-ythbcs" Type="http://schemas.openxmlformats.org/officeDocument/2006/relationships/hyperlink" Target="https://dalil.kg/document/202913" TargetMode="External"/><Relationship Id="rIdj2cx1kro_aesz32xym2a3" Type="http://schemas.openxmlformats.org/officeDocument/2006/relationships/hyperlink" Target="https://dalil.kg/document/202591" TargetMode="External"/><Relationship Id="rIdjquwxwbo0dbn3uc5mkox5" Type="http://schemas.openxmlformats.org/officeDocument/2006/relationships/hyperlink" Target="https://dalil.kg/document/202498" TargetMode="External"/><Relationship Id="rIdltim6zphc_njt07xoqrbk" Type="http://schemas.openxmlformats.org/officeDocument/2006/relationships/hyperlink" Target="https://dalil.kg/document/203102" TargetMode="External"/><Relationship Id="rIdu213djamokzmrlf0x0yvo"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kkwhiltmodhptwurhzoi" Type="http://schemas.openxmlformats.org/officeDocument/2006/relationships/hyperlink" Target="https://dalil.kg/document/53036" TargetMode="External"/><Relationship Id="rIdn3pambup5s7vxatpwaa0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2026-09-23T21:54:27.740Z</dcterms:created>
  <dcterms:modified xsi:type="dcterms:W3CDTF">2026-09-23T21:54:27.740Z</dcterms:modified>
</cp:coreProperties>
</file>

<file path=docProps/custom.xml><?xml version="1.0" encoding="utf-8"?>
<Properties xmlns="http://schemas.openxmlformats.org/officeDocument/2006/custom-properties" xmlns:vt="http://schemas.openxmlformats.org/officeDocument/2006/docPropsVTypes"/>
</file>