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  в соответствии с постановлением Правительства КР от                 </w:t>
      </w:r>
      <w:hyperlink w:history="1" r:id="rIdiv_df0syuyicr7dh0wiy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августа 2006 года № 605</w:t>
        </w:r>
      </w:hyperlink>
      <w:r>
        <w:rPr>
          <w:rFonts w:ascii="Arial" w:cs="Arial" w:eastAsia="Arial" w:hAnsi="Arial"/>
          <w:sz w:val="24"/>
          <w:szCs w:val="24"/>
        </w:rPr>
        <w:t xml:space="preserve"> г. Бишкек, Дом Правительстваот 22 мая 2003 года №295             ПОСТАНОВЛЕНИЕ ПРАВИТЕЛЬСТВА КЫРГЫЗСКОЙ РЕСПУБЛИКИ                                                О внесении изменений и дополнений в некоторые              решения Правительства Кыргызской Республики                                     В  целях  совершенствования  и  устранения  имеющихся  разночтений  вдействующем   законодательстве  Правительство   Кыргызской   Республикипостановляет:  1.  Внести в </w:t>
      </w:r>
      <w:hyperlink w:history="1" r:id="rIdnk75bbp0zf0z4grz1xl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15мая  1998  года  №  281 «О совершенствовании системы социальной  защитымалообеспеченных семей и граждан» следующие изменения и дополнения:  - дополнить пунктом 6 следующего содержания:  «6.   Лицам,  имеющим  право  на  льготы  по  нескольким  основаниям,предоставляется  право  выбора только одного  основания  для  полученияданной льготы.»;  - пункты 6-16 считать соответственно пунктами 7-17;  - в приложении № 1:  абзац   двенадцатый   пункта  2  дополнить   словами:   «(только   наэлектрическую энергию, используемую на бытовые нужды)»;  абзац  пятый  пункта  3 дополнить словами: «с совместно  проживающиминетрудоспособными членами семьи»;  в абзаце втором пункта 4 слова «и работающие» исключить;  -  в  абзаце  втором  пункта 3 приложения № 2  слова  «и  работающие»исключить;  - пункт 2 приложения № 3 дополнить абзацем девятым:  «-  лица,  получающие  пенсии  за  особые  заслуги  перед  КыргызскойРеспубликой;»;  - в приложении № 6:  абзац  первый пункта 1 дополнить словами «или 1 раз в год по  желаниювыплачивается   компенсация  за  неиспользованное   санаторно-курортноелечение в размере полной стоимости путевки»;  пункт 3 после слов «ее стоимости» дополнить словами « или один раз  втри  года бесплатно, либо один раз в три года компенсация в размере 50%от средней стоимости путевки»;  пункт  5  дополнить словами «или 1 раз в год по желанию выплачиваетсякомпенсация за неиспользованное санаторно-курортное лечение  в  размере50% от средней стоимости путевки»;  дополнить пунктом 7 следующего содержания:  «7. В случае смерти лица, имеющего право на получение компенсации  занеиспользованное  санаторно-курортное  лечение,  недополученная   суммакомпенсации выплачивается вдовам (вдовцам) инвалидов, участников войны,а  также  лиц,  получающих  пенсии за особые заслуги  перед  КыргызскойРеспубликой,  проживающих  с ним (ней) на день  его  (ее)  смерти,  приобращении вдов (вдовцов) в течение 6 месячного срока со дня смерти.»;  -  в  абзаце  четвертом  пункта  13  приложения  №  7  слово  «труда»исключить;  -  в  абзаце  втором  пункта 3 приложения № 9  слова  «и  работающие»исключить.  2. Признать утратившими силу:  -  пункт  2 </w:t>
      </w:r>
      <w:hyperlink w:history="1" r:id="rIdwuom32ueagp13juwzjd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30июня  1995  года  №  256  «О  дополнительных мерах  по  государственнойподдержке   отдаленных   и   высокогорных   районов   с   тяжелыми    инеблагоприятными природно-климатическими условиями»;  -  пункт  12 </w:t>
      </w:r>
      <w:hyperlink w:history="1" r:id="rIdff6w5l3po80tktrycu5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1апреля  2002  года  №  185  «О дополнительных мерах  социальной  защитынаселения в условиях повышения тарифов на энергоносители».  3.  Контроль  за  выполнением настоящего постановления  возложить  наМинистерство труда и социальной защиты Кыргызской Республики.  4.  Опубликовать настоящее постановление в средствах массовой.     Премьер-министр                                  Н. Танаев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v_df0syuyicr7dh0wiy4" Type="http://schemas.openxmlformats.org/officeDocument/2006/relationships/hyperlink" Target="http://kodeks.duckdns.org/document/57725" TargetMode="External"/><Relationship Id="rIdnk75bbp0zf0z4grz1xlvc" Type="http://schemas.openxmlformats.org/officeDocument/2006/relationships/hyperlink" Target="http://kodeks.duckdns.org/document/5393" TargetMode="External"/><Relationship Id="rIdwuom32ueagp13juwzjddd" Type="http://schemas.openxmlformats.org/officeDocument/2006/relationships/hyperlink" Target="http://kodeks.duckdns.org/document/36341" TargetMode="External"/><Relationship Id="rIdff6w5l3po80tktrycu5im" Type="http://schemas.openxmlformats.org/officeDocument/2006/relationships/hyperlink" Target="http://kodeks.duckdns.org/document/53315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2026-09-23T09:27:20.507Z</dcterms:created>
  <dcterms:modified xsi:type="dcterms:W3CDTF">2026-09-23T09:27:20.507Z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