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пунктах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1sbghfvcpyrbm6lcgxyhh">
        <w:r>
          <w:rPr>
            <w:rFonts w:ascii="Arial" w:cs="Arial" w:eastAsia="Arial" w:hAnsi="Arial"/>
            <w:i/>
            <w:iCs/>
            <w:color w:val="1D4ED8"/>
            <w:sz w:val="24"/>
            <w:szCs w:val="24"/>
            <w:u w:val="single"/>
          </w:rPr>
          <w:t xml:space="preserve">29 сентября 2005 года № 460</w:t>
        </w:r>
      </w:hyperlink>
      <w:r>
        <w:rPr>
          <w:rFonts w:ascii="Arial" w:cs="Arial" w:eastAsia="Arial" w:hAnsi="Arial"/>
          <w:i/>
          <w:iCs/>
          <w:sz w:val="24"/>
          <w:szCs w:val="24"/>
        </w:rPr>
        <w:t xml:space="preserve">, </w:t>
      </w:r>
      <w:hyperlink w:history="1" r:id="rId5ppfqrs1i_q9mzng4dzyj">
        <w:r>
          <w:rPr>
            <w:rFonts w:ascii="Arial" w:cs="Arial" w:eastAsia="Arial" w:hAnsi="Arial"/>
            <w:i/>
            <w:iCs/>
            <w:color w:val="1D4ED8"/>
            <w:sz w:val="24"/>
            <w:szCs w:val="24"/>
            <w:u w:val="single"/>
          </w:rPr>
          <w:t xml:space="preserve">2 августа 2006 года № 553</w:t>
        </w:r>
      </w:hyperlink>
      <w:r>
        <w:rPr>
          <w:rFonts w:ascii="Arial" w:cs="Arial" w:eastAsia="Arial" w:hAnsi="Arial"/>
          <w:i/>
          <w:iCs/>
          <w:sz w:val="24"/>
          <w:szCs w:val="24"/>
        </w:rPr>
        <w:t xml:space="preserve">, </w:t>
      </w:r>
      <w:hyperlink w:history="1" r:id="rIdenjuusogvhtz5kj6upy6z">
        <w:r>
          <w:rPr>
            <w:rFonts w:ascii="Arial" w:cs="Arial" w:eastAsia="Arial" w:hAnsi="Arial"/>
            <w:i/>
            <w:iCs/>
            <w:color w:val="1D4ED8"/>
            <w:sz w:val="24"/>
            <w:szCs w:val="24"/>
            <w:u w:val="single"/>
          </w:rPr>
          <w:t xml:space="preserve">28 января 2010 года № 40</w:t>
        </w:r>
      </w:hyperlink>
      <w:r>
        <w:rPr>
          <w:rFonts w:ascii="Arial" w:cs="Arial" w:eastAsia="Arial" w:hAnsi="Arial"/>
          <w:i/>
          <w:iCs/>
          <w:sz w:val="24"/>
          <w:szCs w:val="24"/>
        </w:rPr>
        <w:t xml:space="preserve">, </w:t>
      </w:r>
      <w:hyperlink w:history="1" r:id="rIdyxyn2b-tbvr7beybw_z6u">
        <w:r>
          <w:rPr>
            <w:rFonts w:ascii="Arial" w:cs="Arial" w:eastAsia="Arial" w:hAnsi="Arial"/>
            <w:i/>
            <w:iCs/>
            <w:color w:val="1D4ED8"/>
            <w:sz w:val="24"/>
            <w:szCs w:val="24"/>
            <w:u w:val="single"/>
          </w:rPr>
          <w:t xml:space="preserve">4 августа 2011 года № 448</w:t>
        </w:r>
      </w:hyperlink>
      <w:r>
        <w:rPr>
          <w:rFonts w:ascii="Arial" w:cs="Arial" w:eastAsia="Arial" w:hAnsi="Arial"/>
          <w:i/>
          <w:iCs/>
          <w:sz w:val="24"/>
          <w:szCs w:val="24"/>
        </w:rPr>
        <w:t xml:space="preserve">, </w:t>
      </w:r>
      <w:hyperlink w:history="1" r:id="rIdzoxp8pbirttsh7tgpkfiq">
        <w:r>
          <w:rPr>
            <w:rFonts w:ascii="Arial" w:cs="Arial" w:eastAsia="Arial" w:hAnsi="Arial"/>
            <w:i/>
            <w:iCs/>
            <w:color w:val="1D4ED8"/>
            <w:sz w:val="24"/>
            <w:szCs w:val="24"/>
            <w:u w:val="single"/>
          </w:rPr>
          <w:t xml:space="preserve">4 ноября 2011 года № 700</w:t>
        </w:r>
      </w:hyperlink>
      <w:r>
        <w:rPr>
          <w:rFonts w:ascii="Arial" w:cs="Arial" w:eastAsia="Arial" w:hAnsi="Arial"/>
          <w:i/>
          <w:iCs/>
          <w:sz w:val="24"/>
          <w:szCs w:val="24"/>
        </w:rPr>
        <w:t xml:space="preserve">, </w:t>
      </w:r>
      <w:hyperlink w:history="1" r:id="rIdk-jcg1fvsrvpdanhpjhiz">
        <w:r>
          <w:rPr>
            <w:rFonts w:ascii="Arial" w:cs="Arial" w:eastAsia="Arial" w:hAnsi="Arial"/>
            <w:i/>
            <w:iCs/>
            <w:color w:val="1D4ED8"/>
            <w:sz w:val="24"/>
            <w:szCs w:val="24"/>
            <w:u w:val="single"/>
          </w:rPr>
          <w:t xml:space="preserve">12 декабря 2012 года № 830</w:t>
        </w:r>
      </w:hyperlink>
      <w:r>
        <w:rPr>
          <w:rFonts w:ascii="Arial" w:cs="Arial" w:eastAsia="Arial" w:hAnsi="Arial"/>
          <w:i/>
          <w:iCs/>
          <w:sz w:val="24"/>
          <w:szCs w:val="24"/>
        </w:rPr>
        <w:t xml:space="preserve">, </w:t>
      </w:r>
      <w:hyperlink w:history="1" r:id="rIdczxmkb56eqaouixj6zfdg">
        <w:r>
          <w:rPr>
            <w:rFonts w:ascii="Arial" w:cs="Arial" w:eastAsia="Arial" w:hAnsi="Arial"/>
            <w:i/>
            <w:iCs/>
            <w:color w:val="1D4ED8"/>
            <w:sz w:val="24"/>
            <w:szCs w:val="24"/>
            <w:u w:val="single"/>
          </w:rPr>
          <w:t xml:space="preserve">24 января 2013 года № 28</w:t>
        </w:r>
      </w:hyperlink>
      <w:r>
        <w:rPr>
          <w:rFonts w:ascii="Arial" w:cs="Arial" w:eastAsia="Arial" w:hAnsi="Arial"/>
          <w:i/>
          <w:iCs/>
          <w:sz w:val="24"/>
          <w:szCs w:val="24"/>
        </w:rPr>
        <w:t xml:space="preserve">, </w:t>
      </w:r>
      <w:hyperlink w:history="1" r:id="rIdj9lwcmwtcgn5zzt4jrxsx">
        <w:r>
          <w:rPr>
            <w:rFonts w:ascii="Arial" w:cs="Arial" w:eastAsia="Arial" w:hAnsi="Arial"/>
            <w:i/>
            <w:iCs/>
            <w:color w:val="1D4ED8"/>
            <w:sz w:val="24"/>
            <w:szCs w:val="24"/>
            <w:u w:val="single"/>
          </w:rPr>
          <w:t xml:space="preserve">16 апреля 2015 года № 214</w:t>
        </w:r>
      </w:hyperlink>
      <w:r>
        <w:rPr>
          <w:rFonts w:ascii="Arial" w:cs="Arial" w:eastAsia="Arial" w:hAnsi="Arial"/>
          <w:i/>
          <w:iCs/>
          <w:sz w:val="24"/>
          <w:szCs w:val="24"/>
        </w:rPr>
        <w:t xml:space="preserve">, Кабинета Министров Кыргызской Республики от </w:t>
      </w:r>
      <w:hyperlink w:history="1" r:id="rIdasgqgwlddlusxnzjkuzsk">
        <w:r>
          <w:rPr>
            <w:rFonts w:ascii="Arial" w:cs="Arial" w:eastAsia="Arial" w:hAnsi="Arial"/>
            <w:i/>
            <w:iCs/>
            <w:color w:val="1D4ED8"/>
            <w:sz w:val="24"/>
            <w:szCs w:val="24"/>
            <w:u w:val="single"/>
          </w:rPr>
          <w:t xml:space="preserve">12 апреля 2024 года № 178</w:t>
        </w:r>
      </w:hyperlink>
      <w:r>
        <w:rPr>
          <w:rFonts w:ascii="Arial" w:cs="Arial" w:eastAsia="Arial" w:hAnsi="Arial"/>
          <w:i/>
          <w:iCs/>
          <w:sz w:val="24"/>
          <w:szCs w:val="24"/>
        </w:rPr>
        <w:t xml:space="preserve">, </w:t>
      </w:r>
      <w:hyperlink w:history="1" r:id="rIdbay_ygh5_zi7gxwnaxeut">
        <w:r>
          <w:rPr>
            <w:rFonts w:ascii="Arial" w:cs="Arial" w:eastAsia="Arial" w:hAnsi="Arial"/>
            <w:i/>
            <w:iCs/>
            <w:color w:val="1D4ED8"/>
            <w:sz w:val="24"/>
            <w:szCs w:val="24"/>
            <w:u w:val="single"/>
          </w:rPr>
          <w:t xml:space="preserve">15 августа 2024 года № 473</w:t>
        </w:r>
        <w:r>
          <w:rPr>
            <w:rFonts w:ascii="Arial" w:cs="Arial" w:eastAsia="Arial" w:hAnsi="Arial"/>
            <w:i/>
            <w:iCs/>
            <w:color w:val="1D4ED8"/>
            <w:sz w:val="24"/>
            <w:szCs w:val="24"/>
            <w:u w:val="single"/>
          </w:rPr>
          <w:t xml:space="preserve">)</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Положение о пунктах пропуска через государственную границу Кыргызской Республики (далее - Положение) регламентирует порядок открытия, функционирования и закрытия пунктов пропуска через государственную границу Кыргызской Республики (далее - пункты пропуска).</w:t>
      </w:r>
    </w:p>
    <w:p>
      <w:pPr>
        <w:spacing w:after="120"/>
        <w:jc w:val="both"/>
      </w:pPr>
      <w:r>
        <w:rPr>
          <w:rFonts w:ascii="Arial" w:cs="Arial" w:eastAsia="Arial" w:hAnsi="Arial"/>
          <w:sz w:val="24"/>
          <w:szCs w:val="24"/>
        </w:rPr>
        <w:t xml:space="preserve">Настоящее Положение разработано на основании </w:t>
      </w:r>
      <w:hyperlink w:history="1" r:id="rIdbtkffadvpwns9bdtlcqp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границе Кыргызской Республики" и других нормативных правовых актов Кыргызской Республики.</w:t>
      </w:r>
    </w:p>
    <w:p>
      <w:pPr>
        <w:spacing w:after="120"/>
        <w:jc w:val="both"/>
      </w:pPr>
      <w:r>
        <w:rPr>
          <w:rFonts w:ascii="Arial" w:cs="Arial" w:eastAsia="Arial" w:hAnsi="Arial"/>
          <w:sz w:val="24"/>
          <w:szCs w:val="24"/>
        </w:rPr>
        <w:t xml:space="preserve">1.2. Пункты пропуска предназначены для обеспечения международных сообщений Кыргызской Республики с другими государствами.</w:t>
      </w:r>
    </w:p>
    <w:p>
      <w:pPr>
        <w:spacing w:after="120"/>
        <w:jc w:val="both"/>
      </w:pPr>
      <w:r>
        <w:rPr>
          <w:rFonts w:ascii="Arial" w:cs="Arial" w:eastAsia="Arial" w:hAnsi="Arial"/>
          <w:sz w:val="24"/>
          <w:szCs w:val="24"/>
        </w:rPr>
        <w:t xml:space="preserve">1.3. Пункты пропуска - территория в пределах железнодорожного, автомобильного вокзала, станции, аэропорта, аэродрома, открытых для международных сообщений, а также на специально оборудованных местах, где осуществляются пограничный, таможенный, санитарно-карантинный, ветеринарный, фитосанитарный и другие виды контроля в соответствии с законодательством Кыргызской Республики пересекающих государственную границу лиц, товаров, транспортных средств и иного имущества.</w:t>
      </w:r>
    </w:p>
    <w:p>
      <w:pPr>
        <w:spacing w:after="120"/>
        <w:jc w:val="both"/>
      </w:pPr>
      <w:r>
        <w:rPr>
          <w:rFonts w:ascii="Arial" w:cs="Arial" w:eastAsia="Arial" w:hAnsi="Arial"/>
          <w:sz w:val="24"/>
          <w:szCs w:val="24"/>
        </w:rPr>
        <w:t xml:space="preserve">1.4. Пункт пропуска в пределах территории указанных объектов включает в себя комплекс зданий, помещений, сооружений с соответствующим технологическим оборудованием, в которых осуществляют служебную деятельность органы пограничного, таможенного и иных видов контроля, а также транспортные и иные предприятия и организации, обеспечивающие работу пункта пропуска.</w:t>
      </w:r>
    </w:p>
    <w:p>
      <w:pPr>
        <w:spacing w:after="120"/>
        <w:jc w:val="both"/>
      </w:pPr>
      <w:r>
        <w:rPr>
          <w:rFonts w:ascii="Arial" w:cs="Arial" w:eastAsia="Arial" w:hAnsi="Arial"/>
          <w:sz w:val="24"/>
          <w:szCs w:val="24"/>
        </w:rPr>
        <w:t xml:space="preserve">На каждый пункт пропуска через государственную границу Кыргызской Республики составляется паспорт пункта пропуска в соответствии с </w:t>
      </w:r>
      <w:hyperlink w:history="1" r:id="rIdly5w_ta6wu_s-n2bf3u1_">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к настоящему Положению.</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mn58utqjn55y9qrxvynl3">
        <w:r>
          <w:rPr>
            <w:rFonts w:ascii="Arial" w:cs="Arial" w:eastAsia="Arial" w:hAnsi="Arial"/>
            <w:i/>
            <w:iCs/>
            <w:color w:val="1D4ED8"/>
            <w:sz w:val="24"/>
            <w:szCs w:val="24"/>
            <w:u w:val="single"/>
          </w:rPr>
          <w:t xml:space="preserve">16 апреля 2015 года № 214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Для обеспечения контроля за соблюдением лицами установленных правил пересечения государственной границы Кыргызской Республики, перемещения через нее товаров, транспортных средств и иного имущества соответствующими органами исполнительной власти в пунктах пропуска создаются подразделения органов пограничного, таможенного, санитарно-карантинного, иммиграционного, ветеринарного, фитосанитарного и транспортного контроля, контроля за оборотом наркотических средств, психотропных веществ и прекурсоров, а для контроля за соблюдением перевозчиками требований международных соглашений и конвенций в области воздушного, автомобильного и железнодорожного сообщения, предотвращения актов незаконного вмешательства в деятельность гражданской авиации - органы государственного автотранспортного контроля, авиационной безопасности и безопасности движения поездов (далее - государственные контрольные органы).</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9j-wfsac4hzwzilu6avyl">
        <w:r>
          <w:rPr>
            <w:rFonts w:ascii="Arial" w:cs="Arial" w:eastAsia="Arial" w:hAnsi="Arial"/>
            <w:i/>
            <w:iCs/>
            <w:color w:val="1D4ED8"/>
            <w:sz w:val="24"/>
            <w:szCs w:val="24"/>
            <w:u w:val="single"/>
          </w:rPr>
          <w:t xml:space="preserve">24 января 2013 года № 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В соответствии с нормативными правовыми актами Кыргызской Республики, за пересечением государственной границы лицами, транспортными средствами, грузами и иного имущества осуществление следующих видов контроля возложено:</w:t>
      </w:r>
    </w:p>
    <w:p>
      <w:pPr>
        <w:spacing w:after="120"/>
        <w:jc w:val="both"/>
      </w:pPr>
      <w:r>
        <w:rPr>
          <w:rFonts w:ascii="Arial" w:cs="Arial" w:eastAsia="Arial" w:hAnsi="Arial"/>
          <w:sz w:val="24"/>
          <w:szCs w:val="24"/>
        </w:rPr>
        <w:t xml:space="preserve">- пограничного и миграционного контроля - на уполномоченный государственный орган по охране государственной границы;</w:t>
      </w:r>
    </w:p>
    <w:p>
      <w:pPr>
        <w:spacing w:after="120"/>
        <w:jc w:val="both"/>
      </w:pPr>
      <w:r>
        <w:rPr>
          <w:rFonts w:ascii="Arial" w:cs="Arial" w:eastAsia="Arial" w:hAnsi="Arial"/>
          <w:sz w:val="24"/>
          <w:szCs w:val="24"/>
        </w:rPr>
        <w:t xml:space="preserve">- таможенного контроля - на уполномоченный государственный орган в сфере таможенного дела;</w:t>
      </w:r>
    </w:p>
    <w:p>
      <w:pPr>
        <w:spacing w:after="120"/>
        <w:jc w:val="both"/>
      </w:pPr>
      <w:r>
        <w:rPr>
          <w:rFonts w:ascii="Arial" w:cs="Arial" w:eastAsia="Arial" w:hAnsi="Arial"/>
          <w:sz w:val="24"/>
          <w:szCs w:val="24"/>
        </w:rPr>
        <w:t xml:space="preserve">- санитарно-карантинного контроля - на уполномоченный государственный орган в сфере здравоохранения;</w:t>
      </w:r>
    </w:p>
    <w:p>
      <w:pPr>
        <w:spacing w:after="120"/>
        <w:jc w:val="both"/>
      </w:pPr>
      <w:r>
        <w:rPr>
          <w:rFonts w:ascii="Arial" w:cs="Arial" w:eastAsia="Arial" w:hAnsi="Arial"/>
          <w:sz w:val="24"/>
          <w:szCs w:val="24"/>
        </w:rPr>
        <w:t xml:space="preserve">- ветеринарного и фитосанитарного контроля - на уполномоченный государственный орган в сфере санитарной, ветеринарной и фитосанитарной безопасности;</w:t>
      </w:r>
    </w:p>
    <w:p>
      <w:pPr>
        <w:spacing w:after="120"/>
        <w:jc w:val="both"/>
      </w:pPr>
      <w:r>
        <w:rPr>
          <w:rFonts w:ascii="Arial" w:cs="Arial" w:eastAsia="Arial" w:hAnsi="Arial"/>
          <w:sz w:val="24"/>
          <w:szCs w:val="24"/>
        </w:rPr>
        <w:t xml:space="preserve">- транспортного контроля – на уполномоченный государственный орган в сфере транспорта и коммуникаций, за исключением в автомобильных пунктах пропуска через таможенную границу Евразийского экономического союза в Кыргызской Республике</w:t>
      </w:r>
    </w:p>
    <w:p>
      <w:pPr>
        <w:spacing w:after="120"/>
        <w:jc w:val="both"/>
      </w:pPr>
      <w:r>
        <w:rPr>
          <w:rFonts w:ascii="Arial" w:cs="Arial" w:eastAsia="Arial" w:hAnsi="Arial"/>
          <w:sz w:val="24"/>
          <w:szCs w:val="24"/>
        </w:rPr>
        <w:t xml:space="preserve">- контроля за оборотом наркотиков - на уполномоченный государственный орган по контролю наркотиков.</w:t>
      </w:r>
    </w:p>
    <w:p>
      <w:pPr>
        <w:spacing w:after="240"/>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ilause7l3mry397d3tlgi">
        <w:r>
          <w:rPr>
            <w:rFonts w:ascii="Arial" w:cs="Arial" w:eastAsia="Arial" w:hAnsi="Arial"/>
            <w:i/>
            <w:iCs/>
            <w:color w:val="1D4ED8"/>
            <w:sz w:val="24"/>
            <w:szCs w:val="24"/>
            <w:u w:val="single"/>
          </w:rPr>
          <w:t xml:space="preserve">24 января 2013 года № 28</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Кыргызской Республики от </w:t>
      </w:r>
      <w:hyperlink w:history="1" r:id="rIduza0dimcatpja0tszlock">
        <w:r>
          <w:rPr>
            <w:rFonts w:ascii="Arial" w:cs="Arial" w:eastAsia="Arial" w:hAnsi="Arial"/>
            <w:i/>
            <w:iCs/>
            <w:color w:val="1D4ED8"/>
            <w:sz w:val="24"/>
            <w:szCs w:val="24"/>
            <w:u w:val="single"/>
          </w:rPr>
          <w:t xml:space="preserve">12 апреля 2024 года № 178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1.7. Организация и осуществление в пунктах пропуска других видов контроля, а также осуществление в пунктах пропуска хозяйственной и иной деятельности (кроме деятельности, осуществляемой органами статистики по проведению статистических обследований), не связанной с функционированием международного сообщения, органами исполнительной власти, физическими и юридическими лицами не допускается.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l9vfkacb5zuy4mtjlna7">
        <w:r>
          <w:rPr>
            <w:rFonts w:ascii="Arial" w:cs="Arial" w:eastAsia="Arial" w:hAnsi="Arial"/>
            <w:i/>
            <w:iCs/>
            <w:color w:val="1D4ED8"/>
            <w:sz w:val="24"/>
            <w:szCs w:val="24"/>
            <w:u w:val="single"/>
          </w:rPr>
          <w:t xml:space="preserve">15 августа 2024 года № 473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II. Классификация пунктов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Пункты пропуска классифицируются в зависимости от вида, характера международного сообщения и режима работы на:</w:t>
      </w:r>
    </w:p>
    <w:p>
      <w:pPr>
        <w:spacing w:after="120"/>
        <w:jc w:val="both"/>
      </w:pPr>
      <w:r>
        <w:rPr>
          <w:rFonts w:ascii="Arial" w:cs="Arial" w:eastAsia="Arial" w:hAnsi="Arial"/>
          <w:sz w:val="24"/>
          <w:szCs w:val="24"/>
        </w:rPr>
        <w:t xml:space="preserve">- воздушные, автомобильные, железнодорожные, пешеходные - по виду международного сообщения;</w:t>
      </w:r>
    </w:p>
    <w:p>
      <w:pPr>
        <w:spacing w:after="120"/>
        <w:jc w:val="both"/>
      </w:pPr>
      <w:r>
        <w:rPr>
          <w:rFonts w:ascii="Arial" w:cs="Arial" w:eastAsia="Arial" w:hAnsi="Arial"/>
          <w:sz w:val="24"/>
          <w:szCs w:val="24"/>
        </w:rPr>
        <w:t xml:space="preserve">- пассажирские, грузовые, грузопассажирские - по характеру международного сообщения;</w:t>
      </w:r>
    </w:p>
    <w:p>
      <w:pPr>
        <w:spacing w:after="120"/>
        <w:jc w:val="both"/>
      </w:pPr>
      <w:r>
        <w:rPr>
          <w:rFonts w:ascii="Arial" w:cs="Arial" w:eastAsia="Arial" w:hAnsi="Arial"/>
          <w:sz w:val="24"/>
          <w:szCs w:val="24"/>
        </w:rPr>
        <w:t xml:space="preserve">- постоянные, временные, сезонные - по режиму работы.</w:t>
      </w:r>
    </w:p>
    <w:p>
      <w:pPr>
        <w:spacing w:after="120"/>
        <w:jc w:val="both"/>
      </w:pPr>
      <w:r>
        <w:rPr>
          <w:rFonts w:ascii="Arial" w:cs="Arial" w:eastAsia="Arial" w:hAnsi="Arial"/>
          <w:sz w:val="24"/>
          <w:szCs w:val="24"/>
        </w:rPr>
        <w:t xml:space="preserve">2.2. Пункты пропуска могут быть многосторонними - для пропуска лиц независимо от их гражданства (подданства), транспортных средств, грузов и иного имущества через государственную границу Кыргызской Республики, а также двусторонними - для пропуска граждан Кыргызской Республики; иностранных граждан и лиц без гражданства, постоянно проживающих на территории Кыргызской Республики, транспортных средств, грузов и иного имущества через государственную границу Кыргызской Республики и сопредельного государства, в том числе в упрощенном порядке.</w:t>
      </w:r>
    </w:p>
    <w:p>
      <w:pPr>
        <w:spacing w:after="120"/>
        <w:jc w:val="both"/>
      </w:pPr>
      <w:r>
        <w:rPr>
          <w:rFonts w:ascii="Arial" w:cs="Arial" w:eastAsia="Arial" w:hAnsi="Arial"/>
          <w:sz w:val="24"/>
          <w:szCs w:val="24"/>
        </w:rPr>
        <w:t xml:space="preserve">2.3. Классификация пункта пропуска может пересматриваться Правительством Кыргызской Республики по представлению соответствующих органов исполнительной власти Кыргызской Республики, в соответствии с нормами международного права, с учетом интересов сопредельных иностранных государств.</w:t>
      </w:r>
    </w:p>
    <w:p>
      <w:pPr>
        <w:spacing w:after="120"/>
        <w:jc w:val="both"/>
      </w:pPr>
      <w:r>
        <w:rPr>
          <w:rFonts w:ascii="Arial" w:cs="Arial" w:eastAsia="Arial" w:hAnsi="Arial"/>
          <w:sz w:val="24"/>
          <w:szCs w:val="24"/>
        </w:rPr>
        <w:t xml:space="preserve">2.4. Решения Правительства Кыргызской Республики об установлении пунктов пропуска с указанием их классификации публикуются в официальной печати и при необходимости доводятся в установленном порядке Министерством иностранных дел Кыргызской Республики до дипломатических (консульских) представительств иностранных государств, аккредитованных в Кыргызской Республике, и заинтересованных международных организаций, дипломатических и консульских представительств Кыргызской Республики за рубежом.</w:t>
      </w:r>
    </w:p>
    <w:p>
      <w:pPr>
        <w:spacing w:after="120" w:before="200"/>
        <w:jc w:val="center"/>
      </w:pPr>
      <w:r>
        <w:rPr>
          <w:rFonts w:ascii="Arial" w:cs="Arial" w:eastAsia="Arial" w:hAnsi="Arial"/>
          <w:b/>
          <w:bCs/>
          <w:sz w:val="24"/>
          <w:szCs w:val="24"/>
        </w:rPr>
        <w:t xml:space="preserve">III. Порядок установления пунктов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Пункты пропуска устанавливаются решениями Правительства Кыргызской Республики по представлению министерств, государственных комитетов, административных ведомств и местных государственных администраций Кыргызской Республики (далее - инициаторы) по согласованию с уполномоченным государственным органом по охране государственной границы, с учетом интересов сопредельных иностранных государств.</w:t>
      </w:r>
    </w:p>
    <w:p>
      <w:pPr>
        <w:spacing w:after="120"/>
        <w:jc w:val="both"/>
      </w:pPr>
      <w:r>
        <w:rPr>
          <w:rFonts w:ascii="Arial" w:cs="Arial" w:eastAsia="Arial" w:hAnsi="Arial"/>
          <w:sz w:val="24"/>
          <w:szCs w:val="24"/>
        </w:rPr>
        <w:t xml:space="preserve">3.2. Для определения целесообразности установления пункта пропуска инициатор направляет на согласование в Министерство иностранных дел Кыргызской Республики, Министерство обороны Кыргызской Республики, уполномоченный государственный орган, ведающий вопросами национальной безопасности, уполномоченный государственный орган по охране государственной границы, Министерство внутренних дел Кыргызской Республики, уполномоченный государственный орган в сфере санитарной, ветеринарной и фитосанитарной безопасности, уполномоченный государственный орган в сфере транспорта и коммуникаций, Министерство финансов Кыргызской Республики, уполномоченный государственный орган в сфере здравоохранения, уполномоченный государственный орган в сфере таможенного дела следующие материалы:</w:t>
      </w:r>
    </w:p>
    <w:p>
      <w:pPr>
        <w:spacing w:after="120"/>
        <w:jc w:val="both"/>
      </w:pPr>
      <w:r>
        <w:rPr>
          <w:rFonts w:ascii="Arial" w:cs="Arial" w:eastAsia="Arial" w:hAnsi="Arial"/>
          <w:sz w:val="24"/>
          <w:szCs w:val="24"/>
        </w:rPr>
        <w:t xml:space="preserve">- проект решения Правительства Кыргызской Республики об установлении пункта пропуска с указанием его классификации, справку с обоснованием целесообразности его организации, планируемой пропускной способности и срока открытия, расчет затрат из государственного бюджета и других источников финансирования на проектирование, строительство (реконструкцию), обустройство и техническое оснащение пункта пропуска, на содержание государственных контрольных органов;</w:t>
      </w:r>
    </w:p>
    <w:p>
      <w:pPr>
        <w:spacing w:after="120"/>
        <w:jc w:val="both"/>
      </w:pPr>
      <w:r>
        <w:rPr>
          <w:rFonts w:ascii="Arial" w:cs="Arial" w:eastAsia="Arial" w:hAnsi="Arial"/>
          <w:sz w:val="24"/>
          <w:szCs w:val="24"/>
        </w:rPr>
        <w:t xml:space="preserve">- согласие местных государственных администраций Кыргызской Республики на установление на его территории пункта пропуска.</w:t>
      </w:r>
    </w:p>
    <w:p>
      <w:pPr>
        <w:spacing w:after="120"/>
        <w:jc w:val="both"/>
      </w:pPr>
      <w:r>
        <w:rPr>
          <w:rFonts w:ascii="Arial" w:cs="Arial" w:eastAsia="Arial" w:hAnsi="Arial"/>
          <w:sz w:val="24"/>
          <w:szCs w:val="24"/>
        </w:rPr>
        <w:t xml:space="preserve">Органы исполнительной власти, указанные в абзаце первом настоящего пункта, рассматривают представленные им материалы и в месячный срок направляют свое заключение инициатору.</w:t>
      </w:r>
    </w:p>
    <w:p>
      <w:pPr>
        <w:spacing w:after="120"/>
        <w:jc w:val="both"/>
      </w:pPr>
      <w:r>
        <w:rPr>
          <w:rFonts w:ascii="Arial" w:cs="Arial" w:eastAsia="Arial" w:hAnsi="Arial"/>
          <w:sz w:val="24"/>
          <w:szCs w:val="24"/>
        </w:rPr>
        <w:t xml:space="preserve">3.3. Принятое Правительством Кыргызской Республики решение об установлении пункта пропуска является основанием для открытия, финансирования, проектирования, строительства (реконструкции), обустройства объектов и технического оснащения пункта пропуска, а также создания и развития транспортной, инженерной и социально-бытовой инфраструктуры.</w:t>
      </w:r>
    </w:p>
    <w:p>
      <w:pPr>
        <w:spacing w:after="120" w:before="200"/>
        <w:jc w:val="center"/>
      </w:pPr>
      <w:r>
        <w:rPr>
          <w:rFonts w:ascii="Arial" w:cs="Arial" w:eastAsia="Arial" w:hAnsi="Arial"/>
          <w:b/>
          <w:bCs/>
          <w:sz w:val="24"/>
          <w:szCs w:val="24"/>
        </w:rPr>
        <w:t xml:space="preserve">IV. Порядок открытия пунктов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Пункты пропуска открываются после комплексного завершения их строительства (реконструкции), обустройства, технического оснащения, создания транспортной, инженерной и социально-бытовой инфраструктуры и принятия их в эксплуатацию соответствующим государственным органом.</w:t>
      </w:r>
    </w:p>
    <w:p>
      <w:pPr>
        <w:spacing w:after="120"/>
        <w:jc w:val="both"/>
      </w:pPr>
      <w:r>
        <w:rPr>
          <w:rFonts w:ascii="Arial" w:cs="Arial" w:eastAsia="Arial" w:hAnsi="Arial"/>
          <w:sz w:val="24"/>
          <w:szCs w:val="24"/>
        </w:rPr>
        <w:t xml:space="preserve">4.2. После принятия решения об установлении (реконструкции) пункта пропуска, инициатор в пределах своей компетенции выполняет функции заказчика и осуществляет общую координацию по проектированию, строительству (реконструкции), оборудованию и техническому оснащению пункта пропуска.</w:t>
      </w:r>
    </w:p>
    <w:p>
      <w:pPr>
        <w:spacing w:after="120"/>
        <w:jc w:val="both"/>
      </w:pPr>
      <w:r>
        <w:rPr>
          <w:rFonts w:ascii="Arial" w:cs="Arial" w:eastAsia="Arial" w:hAnsi="Arial"/>
          <w:sz w:val="24"/>
          <w:szCs w:val="24"/>
        </w:rPr>
        <w:t xml:space="preserve">4.3. Строительство (реконструкция) и оборудование объектов пункта пропуска осуществляется в установленном законодательством Кыргызской Республики порядке по проектам, прошедшим государственную экспертизу и согласованным с уполномоченным государственным органом, ведающим вопросами национальной безопасности, уполномоченным государственным органом по охране государственной границы, уполномоченным государственным органом в сфере таможенного дела, Министерством обороны Кыргызской Республики, Министерством иностранных дел Кыргызской Республики, уполномоченным государственным органом в сфере транспорта и коммуникаций, уполномоченным государственным органом в сфере санитарной, ветеринарной и фитосанитарной безопасности, уполномоченным государственным органом в сфере здравоохранения, местными органами архитектуры и строительства.</w:t>
      </w:r>
    </w:p>
    <w:p>
      <w:pPr>
        <w:spacing w:after="120"/>
        <w:jc w:val="both"/>
      </w:pPr>
      <w:r>
        <w:rPr>
          <w:rFonts w:ascii="Arial" w:cs="Arial" w:eastAsia="Arial" w:hAnsi="Arial"/>
          <w:sz w:val="24"/>
          <w:szCs w:val="24"/>
        </w:rPr>
        <w:t xml:space="preserve">4.4. Инициатор обеспечивает подготовку архитектурно-планировочного задания и технического задания на оборудование и техническое оснащение пунктов пропуска для проектирования объекта.</w:t>
      </w:r>
    </w:p>
    <w:p>
      <w:pPr>
        <w:spacing w:after="120"/>
        <w:jc w:val="both"/>
      </w:pPr>
      <w:r>
        <w:rPr>
          <w:rFonts w:ascii="Arial" w:cs="Arial" w:eastAsia="Arial" w:hAnsi="Arial"/>
          <w:sz w:val="24"/>
          <w:szCs w:val="24"/>
        </w:rPr>
        <w:t xml:space="preserve">4.5. Для разработки технического задания на оборудование и техническое оснащение пунктов пропуска в заинтересованные органы исполнительной власти, указанные в пункте 4.3, представляются следующие материалы:</w:t>
      </w:r>
    </w:p>
    <w:p>
      <w:pPr>
        <w:spacing w:after="120"/>
        <w:jc w:val="both"/>
      </w:pPr>
      <w:r>
        <w:rPr>
          <w:rFonts w:ascii="Arial" w:cs="Arial" w:eastAsia="Arial" w:hAnsi="Arial"/>
          <w:sz w:val="24"/>
          <w:szCs w:val="24"/>
        </w:rPr>
        <w:t xml:space="preserve">- план территории пункта пропуска с указанием зданий и сооружений;</w:t>
      </w:r>
    </w:p>
    <w:p>
      <w:pPr>
        <w:spacing w:after="120"/>
        <w:jc w:val="both"/>
      </w:pPr>
      <w:r>
        <w:rPr>
          <w:rFonts w:ascii="Arial" w:cs="Arial" w:eastAsia="Arial" w:hAnsi="Arial"/>
          <w:sz w:val="24"/>
          <w:szCs w:val="24"/>
        </w:rPr>
        <w:t xml:space="preserve">- архитектурно-планировочные чертежи пункта пропуска об эксплуатации помещений;</w:t>
      </w:r>
    </w:p>
    <w:p>
      <w:pPr>
        <w:spacing w:after="120"/>
        <w:jc w:val="both"/>
      </w:pPr>
      <w:r>
        <w:rPr>
          <w:rFonts w:ascii="Arial" w:cs="Arial" w:eastAsia="Arial" w:hAnsi="Arial"/>
          <w:sz w:val="24"/>
          <w:szCs w:val="24"/>
        </w:rPr>
        <w:t xml:space="preserve">- выкопировка с карты масштаба 1:25000, с обозначением расположения территории пункта пропуска.</w:t>
      </w:r>
    </w:p>
    <w:p>
      <w:pPr>
        <w:spacing w:after="120"/>
        <w:jc w:val="both"/>
      </w:pPr>
      <w:r>
        <w:rPr>
          <w:rFonts w:ascii="Arial" w:cs="Arial" w:eastAsia="Arial" w:hAnsi="Arial"/>
          <w:sz w:val="24"/>
          <w:szCs w:val="24"/>
        </w:rPr>
        <w:t xml:space="preserve">4.6. После окончания строительства (реконструкции) и оборудования пункта пропуска созывается межведомственная комиссия для осуществления приемки объекта в эксплуатацию.</w:t>
      </w:r>
    </w:p>
    <w:p>
      <w:pPr>
        <w:spacing w:after="120"/>
        <w:jc w:val="both"/>
      </w:pPr>
      <w:r>
        <w:rPr>
          <w:rFonts w:ascii="Arial" w:cs="Arial" w:eastAsia="Arial" w:hAnsi="Arial"/>
          <w:sz w:val="24"/>
          <w:szCs w:val="24"/>
        </w:rPr>
        <w:t xml:space="preserve">4.7. Межведомственная комиссия образуется в соответствии с требованиями законодательства Кыргызской Республики в составе заинтересованных сторон, а также включает полномочных представителей государственных контрольных органов в пунктах пропуска.</w:t>
      </w:r>
    </w:p>
    <w:p>
      <w:pPr>
        <w:spacing w:after="120"/>
        <w:jc w:val="both"/>
      </w:pPr>
      <w:r>
        <w:rPr>
          <w:rFonts w:ascii="Arial" w:cs="Arial" w:eastAsia="Arial" w:hAnsi="Arial"/>
          <w:sz w:val="24"/>
          <w:szCs w:val="24"/>
        </w:rPr>
        <w:t xml:space="preserve">4.8. Срок функционирования, период работы, оснащения временных и сезонных пунктов пропуска определяются решением Правительства Кыргызской Республики об их установлении.</w:t>
      </w:r>
    </w:p>
    <w:p>
      <w:pPr>
        <w:spacing w:after="120" w:before="200"/>
        <w:jc w:val="center"/>
      </w:pPr>
      <w:r>
        <w:rPr>
          <w:rFonts w:ascii="Arial" w:cs="Arial" w:eastAsia="Arial" w:hAnsi="Arial"/>
          <w:b/>
          <w:bCs/>
          <w:sz w:val="24"/>
          <w:szCs w:val="24"/>
        </w:rPr>
        <w:t xml:space="preserve">V. Порядок закрытия пунктов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Пункт пропуска может быть закрыт решением Правительства Кыргызской Республики на основании:</w:t>
      </w:r>
    </w:p>
    <w:p>
      <w:pPr>
        <w:spacing w:after="120"/>
        <w:jc w:val="both"/>
      </w:pPr>
      <w:r>
        <w:rPr>
          <w:rFonts w:ascii="Arial" w:cs="Arial" w:eastAsia="Arial" w:hAnsi="Arial"/>
          <w:sz w:val="24"/>
          <w:szCs w:val="24"/>
        </w:rPr>
        <w:t xml:space="preserve">- вступления в силу международных договоров Кыргызской Республики о прекращении транспортного сообщения через государственную границу Кыргызской Республики;</w:t>
      </w:r>
    </w:p>
    <w:p>
      <w:pPr>
        <w:spacing w:after="120"/>
        <w:jc w:val="both"/>
      </w:pPr>
      <w:r>
        <w:rPr>
          <w:rFonts w:ascii="Arial" w:cs="Arial" w:eastAsia="Arial" w:hAnsi="Arial"/>
          <w:sz w:val="24"/>
          <w:szCs w:val="24"/>
        </w:rPr>
        <w:t xml:space="preserve">- одностороннего решения Кыргызской Республики или другого государства о прекращении действия международных договоров, участником которых является Кыргызская Республика;</w:t>
      </w:r>
    </w:p>
    <w:p>
      <w:pPr>
        <w:spacing w:after="120"/>
        <w:jc w:val="both"/>
      </w:pPr>
      <w:r>
        <w:rPr>
          <w:rFonts w:ascii="Arial" w:cs="Arial" w:eastAsia="Arial" w:hAnsi="Arial"/>
          <w:sz w:val="24"/>
          <w:szCs w:val="24"/>
        </w:rPr>
        <w:t xml:space="preserve">- представления уполномоченного государственного органа по охране государственной границы и/или уполномоченного государственного органа в сфере таможенного дела, по согласованию с органами указанными в п.3.2 настоящего Положения, о нецелесообразности или невозможности дальнейшего функционирования пункта пропуска.</w:t>
      </w:r>
    </w:p>
    <w:p>
      <w:pPr>
        <w:spacing w:after="120"/>
        <w:jc w:val="both"/>
      </w:pPr>
      <w:r>
        <w:rPr>
          <w:rFonts w:ascii="Arial" w:cs="Arial" w:eastAsia="Arial" w:hAnsi="Arial"/>
          <w:sz w:val="24"/>
          <w:szCs w:val="24"/>
        </w:rPr>
        <w:t xml:space="preserve">5.2. Временное закрытие пункта пропуска производится решением Правительства Кыргызской Республики в случаях:</w:t>
      </w:r>
    </w:p>
    <w:p>
      <w:pPr>
        <w:spacing w:after="120"/>
        <w:jc w:val="both"/>
      </w:pPr>
      <w:r>
        <w:rPr>
          <w:rFonts w:ascii="Arial" w:cs="Arial" w:eastAsia="Arial" w:hAnsi="Arial"/>
          <w:sz w:val="24"/>
          <w:szCs w:val="24"/>
        </w:rPr>
        <w:t xml:space="preserve">- чрезвычайных ситуаций, стихийных бедствий и ситуаций техногенного характера, делающих невозможным осуществление транспортного сообщения или функционирование государственных контрольных органов;</w:t>
      </w:r>
    </w:p>
    <w:p>
      <w:pPr>
        <w:spacing w:after="120"/>
        <w:jc w:val="both"/>
      </w:pPr>
      <w:r>
        <w:rPr>
          <w:rFonts w:ascii="Arial" w:cs="Arial" w:eastAsia="Arial" w:hAnsi="Arial"/>
          <w:sz w:val="24"/>
          <w:szCs w:val="24"/>
        </w:rPr>
        <w:t xml:space="preserve">- по причинам санитарно-карантинного характера;</w:t>
      </w:r>
    </w:p>
    <w:p>
      <w:pPr>
        <w:spacing w:after="120"/>
        <w:jc w:val="both"/>
      </w:pPr>
      <w:r>
        <w:rPr>
          <w:rFonts w:ascii="Arial" w:cs="Arial" w:eastAsia="Arial" w:hAnsi="Arial"/>
          <w:sz w:val="24"/>
          <w:szCs w:val="24"/>
        </w:rPr>
        <w:t xml:space="preserve">- обеспечения национальной безопасности Кыргызской Республики;</w:t>
      </w:r>
    </w:p>
    <w:p>
      <w:pPr>
        <w:spacing w:after="120"/>
        <w:jc w:val="both"/>
      </w:pPr>
      <w:r>
        <w:rPr>
          <w:rFonts w:ascii="Arial" w:cs="Arial" w:eastAsia="Arial" w:hAnsi="Arial"/>
          <w:sz w:val="24"/>
          <w:szCs w:val="24"/>
        </w:rPr>
        <w:t xml:space="preserve">- выполнения обязательств, предусмотренных международными договорами Кыргызской Республики.</w:t>
      </w:r>
    </w:p>
    <w:p>
      <w:pPr>
        <w:spacing w:after="120"/>
        <w:jc w:val="both"/>
      </w:pPr>
      <w:r>
        <w:rPr>
          <w:rFonts w:ascii="Arial" w:cs="Arial" w:eastAsia="Arial" w:hAnsi="Arial"/>
          <w:sz w:val="24"/>
          <w:szCs w:val="24"/>
        </w:rPr>
        <w:t xml:space="preserve">5.3. Решения Правительства Кыргызской Республики о закрытии пунктов пропуска или их временном закрытии, а также об отмене решений о временном закрытии пунктов пропуска публикуются в средствах массовой информации и доводятся Министерством иностранных дел Кыргызской Республики до сведения дипломатических представительств и консульских учреждений Кыргызской Республики за рубежом, дипломатических представительств и консульских учреждений иностранных государств, аккредитованных в Кыргызской Республике, а также международных организаций, осуществляющих свою деятельность в Кыргызской Республике.</w:t>
      </w:r>
    </w:p>
    <w:p>
      <w:pPr>
        <w:spacing w:after="120"/>
        <w:jc w:val="both"/>
      </w:pPr>
      <w:r>
        <w:rPr>
          <w:rFonts w:ascii="Arial" w:cs="Arial" w:eastAsia="Arial" w:hAnsi="Arial"/>
          <w:sz w:val="24"/>
          <w:szCs w:val="24"/>
        </w:rPr>
        <w:t xml:space="preserve">5.4. До возобновления функционирования временно закрываемого пункта пропуска структурные подразделения государственных контрольных органов не подлежат расформированию и осуществляют свою деятельность в соответствии с решениями соответствующих руководителей министерств и ведомств.</w:t>
      </w:r>
    </w:p>
    <w:p>
      <w:pPr>
        <w:spacing w:after="120" w:before="200"/>
        <w:jc w:val="center"/>
      </w:pPr>
      <w:r>
        <w:rPr>
          <w:rFonts w:ascii="Arial" w:cs="Arial" w:eastAsia="Arial" w:hAnsi="Arial"/>
          <w:b/>
          <w:bCs/>
          <w:sz w:val="24"/>
          <w:szCs w:val="24"/>
        </w:rPr>
        <w:t xml:space="preserve">VI. Организация работы пунктов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Общий распорядок работы пункта пропуска - время начала и окончания работы, технологические перерывы, графики (расписания) оформления физических лиц, транспортных средств и грузов, следующих через государственную границу - утверждается совместным решением руководителей государственных контрольных органов и начальника аэропорта, аэродрома, железнодорожного вокзала, станции, иных транспортных предприятий (далее - администрация пункта пропуска).</w:t>
      </w:r>
    </w:p>
    <w:p>
      <w:pPr>
        <w:spacing w:after="120"/>
        <w:jc w:val="both"/>
      </w:pPr>
      <w:r>
        <w:rPr>
          <w:rFonts w:ascii="Arial" w:cs="Arial" w:eastAsia="Arial" w:hAnsi="Arial"/>
          <w:sz w:val="24"/>
          <w:szCs w:val="24"/>
        </w:rPr>
        <w:t xml:space="preserve">6.2. Последовательность осуществления всех видов контроля в пунктах пропуска определяется типовыми схемами пропуска через государственную границу лиц, транспортных средств, грузов и иного имущества по видам международного сообщения, которые согласовываются с руководителями государственных контрольных органов в пунктах пропуска и утверждаются нормативными правовыми актами уполномоченного государственного органа по охране государственной границы.</w:t>
      </w:r>
    </w:p>
    <w:p>
      <w:pPr>
        <w:spacing w:after="120"/>
        <w:jc w:val="both"/>
      </w:pPr>
      <w:r>
        <w:rPr>
          <w:rFonts w:ascii="Arial" w:cs="Arial" w:eastAsia="Arial" w:hAnsi="Arial"/>
          <w:sz w:val="24"/>
          <w:szCs w:val="24"/>
        </w:rPr>
        <w:t xml:space="preserve">6.3. В соответствии с типовыми схемами пропуска через государственную границу лиц, транспортных средств, грузов и иного имущества, с учетом местных условий, совместными решениями руководителей государственных контрольных органов и администраций пунктов пропуска вводятся в действие технологические схемы пропуска через государственную границу Кыргызской Республики лиц, товаров, транспортных средств и иного имущества в конкретных пунктах пропуска.</w:t>
      </w:r>
    </w:p>
    <w:p>
      <w:pPr>
        <w:spacing w:after="120"/>
        <w:jc w:val="both"/>
      </w:pPr>
      <w:r>
        <w:rPr>
          <w:rFonts w:ascii="Arial" w:cs="Arial" w:eastAsia="Arial" w:hAnsi="Arial"/>
          <w:sz w:val="24"/>
          <w:szCs w:val="24"/>
        </w:rPr>
        <w:t xml:space="preserve">Решение об изменении графика распорядка работы пункта пропуска, должно быть в установленном порядке согласовано с министерствами, ведомствами и территориальными административными органами Кыргызской Республики.</w:t>
      </w:r>
    </w:p>
    <w:p>
      <w:pPr>
        <w:spacing w:after="120" w:before="200"/>
        <w:jc w:val="center"/>
      </w:pPr>
      <w:r>
        <w:rPr>
          <w:rFonts w:ascii="Arial" w:cs="Arial" w:eastAsia="Arial" w:hAnsi="Arial"/>
          <w:b/>
          <w:bCs/>
          <w:sz w:val="24"/>
          <w:szCs w:val="24"/>
        </w:rPr>
        <w:t xml:space="preserve">VII. Взаимодействие государственных контрольных органов в пунктах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Государственные контрольные органы и администрации пунктов пропуска осуществляют взаимодействие по следующим основным направлениям:</w:t>
      </w:r>
    </w:p>
    <w:p>
      <w:pPr>
        <w:spacing w:after="120"/>
        <w:jc w:val="both"/>
      </w:pPr>
      <w:r>
        <w:rPr>
          <w:rFonts w:ascii="Arial" w:cs="Arial" w:eastAsia="Arial" w:hAnsi="Arial"/>
          <w:sz w:val="24"/>
          <w:szCs w:val="24"/>
        </w:rPr>
        <w:t xml:space="preserve">- проведение совместного анализа складывающейся обстановки в пункте пропуска, прогнозирование тенденций по изменению пассажирского и грузового потоков, возможных нарушений правил пересечения государственной границы и перемещения через нее транспортных средств, грузов и иного имущества;</w:t>
      </w:r>
    </w:p>
    <w:p>
      <w:pPr>
        <w:spacing w:after="120"/>
        <w:jc w:val="both"/>
      </w:pPr>
      <w:r>
        <w:rPr>
          <w:rFonts w:ascii="Arial" w:cs="Arial" w:eastAsia="Arial" w:hAnsi="Arial"/>
          <w:sz w:val="24"/>
          <w:szCs w:val="24"/>
        </w:rPr>
        <w:t xml:space="preserve">- разработка и реализация предложений по совершенствованию работы пункта пропуска;</w:t>
      </w:r>
    </w:p>
    <w:p>
      <w:pPr>
        <w:spacing w:after="120"/>
        <w:jc w:val="both"/>
      </w:pPr>
      <w:r>
        <w:rPr>
          <w:rFonts w:ascii="Arial" w:cs="Arial" w:eastAsia="Arial" w:hAnsi="Arial"/>
          <w:sz w:val="24"/>
          <w:szCs w:val="24"/>
        </w:rPr>
        <w:t xml:space="preserve">- разработка и утверждение схем пропуска через государственную границу Кыргызской Республики и планов взаимодействия.</w:t>
      </w:r>
    </w:p>
    <w:p>
      <w:pPr>
        <w:spacing w:after="120"/>
        <w:jc w:val="both"/>
      </w:pPr>
      <w:r>
        <w:rPr>
          <w:rFonts w:ascii="Arial" w:cs="Arial" w:eastAsia="Arial" w:hAnsi="Arial"/>
          <w:sz w:val="24"/>
          <w:szCs w:val="24"/>
        </w:rPr>
        <w:t xml:space="preserve">7.2. Порядок взаимодействия соответствующих структурных подразделений Министерства иностранных дел Кыргызской Республики и уполномоченного государственного органа по охране государственной границы по процедуре приема лиц, ищущих убежище, в пунктах пропуска через государственную границу Кыргызской Республики регулируется межведомственным положением.</w:t>
      </w:r>
    </w:p>
    <w:p>
      <w:pPr>
        <w:spacing w:after="120"/>
        <w:jc w:val="both"/>
      </w:pPr>
      <w:r>
        <w:rPr>
          <w:rFonts w:ascii="Arial" w:cs="Arial" w:eastAsia="Arial" w:hAnsi="Arial"/>
          <w:sz w:val="24"/>
          <w:szCs w:val="24"/>
        </w:rPr>
        <w:t xml:space="preserve">7.3. Координация деятельности государственных контрольных органов в пунктах пропуска по вопросам режима государственной границы Кыргызской Республики и режима в пунктах пропуска возлагается - на руководителей органов пограничного контроля, поддержания режима зоны таможенного контроля - на руководителей органов таможенного контроля, производственной и хозяйственной деятельности - на руководителей администраций пунктов пропуска.</w:t>
      </w:r>
    </w:p>
    <w:p>
      <w:pPr>
        <w:spacing w:after="120"/>
        <w:jc w:val="both"/>
      </w:pPr>
      <w:r>
        <w:rPr>
          <w:rFonts w:ascii="Arial" w:cs="Arial" w:eastAsia="Arial" w:hAnsi="Arial"/>
          <w:sz w:val="24"/>
          <w:szCs w:val="24"/>
        </w:rPr>
        <w:t xml:space="preserve">7.4. В целях обеспечения координации деятельности государственных контрольных органов в пунктах пропуска по инициативе руководителей государственных контрольных органов созываются координационные совещания, с участием руководителей подразделений государственных контрольных органов в пунктах пропуска, территориальных органов национальной безопасности и внутренних дел, администраций пунктов пропуска, а также представителей иных органов исполнительной власти или местного самоуправления, на территории которых расположен пункт пропуска.</w:t>
      </w:r>
    </w:p>
    <w:p>
      <w:pPr>
        <w:spacing w:after="120"/>
        <w:jc w:val="both"/>
      </w:pPr>
      <w:r>
        <w:rPr>
          <w:rFonts w:ascii="Arial" w:cs="Arial" w:eastAsia="Arial" w:hAnsi="Arial"/>
          <w:sz w:val="24"/>
          <w:szCs w:val="24"/>
        </w:rPr>
        <w:t xml:space="preserve">Члены координационного совещания при обсуждении вопросов и принятии решений пользуются равными правами.</w:t>
      </w:r>
    </w:p>
    <w:p>
      <w:pPr>
        <w:spacing w:after="120"/>
        <w:jc w:val="both"/>
      </w:pPr>
      <w:r>
        <w:rPr>
          <w:rFonts w:ascii="Arial" w:cs="Arial" w:eastAsia="Arial" w:hAnsi="Arial"/>
          <w:sz w:val="24"/>
          <w:szCs w:val="24"/>
        </w:rPr>
        <w:t xml:space="preserve">7.5. На координационные совещания при необходимости могут быть приглашены представители других государственных органов, общественных организаций и объединений. Решение об их участии принимается членами координационного совещания.</w:t>
      </w:r>
    </w:p>
    <w:p>
      <w:pPr>
        <w:spacing w:after="120"/>
        <w:jc w:val="both"/>
      </w:pPr>
      <w:r>
        <w:rPr>
          <w:rFonts w:ascii="Arial" w:cs="Arial" w:eastAsia="Arial" w:hAnsi="Arial"/>
          <w:sz w:val="24"/>
          <w:szCs w:val="24"/>
        </w:rPr>
        <w:t xml:space="preserve">7.6. Координационные совещания проводятся по мере необходимости, но не реже одного раза в квартал, а также по инициативе одного из членов координационного совещания.</w:t>
      </w:r>
    </w:p>
    <w:p>
      <w:pPr>
        <w:spacing w:after="120"/>
        <w:jc w:val="both"/>
      </w:pPr>
      <w:r>
        <w:rPr>
          <w:rFonts w:ascii="Arial" w:cs="Arial" w:eastAsia="Arial" w:hAnsi="Arial"/>
          <w:sz w:val="24"/>
          <w:szCs w:val="24"/>
        </w:rPr>
        <w:t xml:space="preserve">7.7. На координационных совещаниях по вопросам, входящим в их компетенцию, принимаются решения. Решение считается принятым, если за него проголосовало более половины участвующих в координационном совещании членов.</w:t>
      </w:r>
    </w:p>
    <w:p>
      <w:pPr>
        <w:spacing w:after="120"/>
        <w:jc w:val="both"/>
      </w:pPr>
      <w:r>
        <w:rPr>
          <w:rFonts w:ascii="Arial" w:cs="Arial" w:eastAsia="Arial" w:hAnsi="Arial"/>
          <w:sz w:val="24"/>
          <w:szCs w:val="24"/>
        </w:rPr>
        <w:t xml:space="preserve">7.8. Решение координационного совещания оформляется протоколом.</w:t>
      </w:r>
    </w:p>
    <w:p>
      <w:pPr>
        <w:spacing w:after="120"/>
        <w:jc w:val="both"/>
      </w:pPr>
      <w:r>
        <w:rPr>
          <w:rFonts w:ascii="Arial" w:cs="Arial" w:eastAsia="Arial" w:hAnsi="Arial"/>
          <w:sz w:val="24"/>
          <w:szCs w:val="24"/>
        </w:rPr>
        <w:t xml:space="preserve">7.9. Должностные лица, указанные в пункте 7.4 настоящего Положения, обеспечивают выполнение решений в части, относящейся к компетенции представляемых ими органов, организаций и учреждений.</w:t>
      </w:r>
    </w:p>
    <w:p>
      <w:pPr>
        <w:spacing w:after="120" w:before="200"/>
        <w:jc w:val="center"/>
      </w:pPr>
      <w:r>
        <w:rPr>
          <w:rFonts w:ascii="Arial" w:cs="Arial" w:eastAsia="Arial" w:hAnsi="Arial"/>
          <w:b/>
          <w:bCs/>
          <w:sz w:val="24"/>
          <w:szCs w:val="24"/>
        </w:rPr>
        <w:t xml:space="preserve">VIII. Финансовое и материально-техническое обеспечение пунктов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Строительство (реконструкция) и оборудование пунктов пропуска осуществляется на долевых началах за счет средств государственного бюджета Кыргызской Республики в пределах предусмотренных средств бюджетов местных государственных администраций, органов местного самоуправления и средств республиканского бюджета соответствующих государственных органов, привлекаемых для указанных целей на текущий финансовый год, а также за счет других средств, не противоречащих законодательству Кыргызской Республики.</w:t>
      </w:r>
    </w:p>
    <w:p>
      <w:pPr>
        <w:spacing w:after="120"/>
        <w:jc w:val="both"/>
      </w:pPr>
      <w:r>
        <w:rPr>
          <w:rFonts w:ascii="Arial" w:cs="Arial" w:eastAsia="Arial" w:hAnsi="Arial"/>
          <w:sz w:val="24"/>
          <w:szCs w:val="24"/>
        </w:rPr>
        <w:t xml:space="preserve">Объемы долевого участия заинтересованных сторон в финансировании строительства (реконструкции) и оборудования пунктов пропуска определяются в проектно-сметной документации.</w:t>
      </w:r>
    </w:p>
    <w:p>
      <w:pPr>
        <w:spacing w:after="120"/>
        <w:jc w:val="both"/>
      </w:pPr>
      <w:r>
        <w:rPr>
          <w:rFonts w:ascii="Arial" w:cs="Arial" w:eastAsia="Arial" w:hAnsi="Arial"/>
          <w:sz w:val="24"/>
          <w:szCs w:val="24"/>
        </w:rPr>
        <w:t xml:space="preserve">8.2. После принятия пункта пропуска в эксплуатацию структурным подразделениям государственных контрольных органов в установленном порядке предоставляются служебные и бытовые помещения, специальные места и технологическое оборудование, необходимое для осуществления соответствующих видов контроля, согласно размерам долевого участия сторон в строительстве (реконструкции) этих пунктов.</w:t>
      </w:r>
    </w:p>
    <w:p>
      <w:pPr>
        <w:spacing w:after="120"/>
        <w:jc w:val="both"/>
      </w:pPr>
      <w:r>
        <w:rPr>
          <w:rFonts w:ascii="Arial" w:cs="Arial" w:eastAsia="Arial" w:hAnsi="Arial"/>
          <w:sz w:val="24"/>
          <w:szCs w:val="24"/>
        </w:rPr>
        <w:t xml:space="preserve">8.3. Расходы по оснащению пункта пропуска специальной аппаратурой и техническими средствами контроля, их эксплуатации, а также связанные с содержанием личного состава структурных подразделений государственных контрольных органов осуществляются за счет средств государственного бюджета в пределах предусмотренных средств бюджетов местных государственных администраций, органов местного самоуправления и средств республиканского бюджета соответствующих государственных органов, привлекаемых для указанных целей на текущий финансовый год, а также иных средств, привлекаемых в соответствии с законодательством Кыргызской Республики.</w:t>
      </w:r>
    </w:p>
    <w:p>
      <w:pPr>
        <w:spacing w:after="120"/>
        <w:jc w:val="both"/>
      </w:pPr>
      <w:r>
        <w:rPr>
          <w:rFonts w:ascii="Arial" w:cs="Arial" w:eastAsia="Arial" w:hAnsi="Arial"/>
          <w:sz w:val="24"/>
          <w:szCs w:val="24"/>
        </w:rPr>
        <w:t xml:space="preserve">Расходы на содержание пунктов пропуска, коммунальные услуги и другие расходы финансируются на основе договоров между соответствующей службой инициатора и государственными контрольными органами в пункте пропуска.</w:t>
      </w:r>
    </w:p>
    <w:p>
      <w:pPr>
        <w:spacing w:after="120"/>
        <w:jc w:val="both"/>
      </w:pPr>
      <w:r>
        <w:rPr>
          <w:rFonts w:ascii="Arial" w:cs="Arial" w:eastAsia="Arial" w:hAnsi="Arial"/>
          <w:sz w:val="24"/>
          <w:szCs w:val="24"/>
        </w:rPr>
        <w:t xml:space="preserve">8.4. Структурные подразделения государственных контрольных органов используют переданные им служебные и бытовые помещения, специальные места и технологическое оборудование в соответствии с их назначением, по установленным нормам и правилам.</w:t>
      </w:r>
    </w:p>
    <w:p>
      <w:pPr>
        <w:spacing w:after="120"/>
        <w:jc w:val="both"/>
      </w:pPr>
      <w:r>
        <w:rPr>
          <w:rFonts w:ascii="Arial" w:cs="Arial" w:eastAsia="Arial" w:hAnsi="Arial"/>
          <w:sz w:val="24"/>
          <w:szCs w:val="24"/>
        </w:rPr>
        <w:t xml:space="preserve">8.5. Если пункт пропуска находится на балансе государственного контрольного органа, то администрацией пункта пропуска является данный государственный контрольный орган. В этом случае функции администрации пункта пропуска могут быть возложены как на руководителя государственного контрольного органа на пункте пропуска, так и на иное уполномоченное должностное лицо или структурное подразделение данного государственного контрольного органа.</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yndoo9snxquhrm4nwjsm0">
        <w:r>
          <w:rPr>
            <w:rFonts w:ascii="Arial" w:cs="Arial" w:eastAsia="Arial" w:hAnsi="Arial"/>
            <w:i/>
            <w:iCs/>
            <w:color w:val="1D4ED8"/>
            <w:sz w:val="24"/>
            <w:szCs w:val="24"/>
            <w:u w:val="single"/>
          </w:rPr>
          <w:t xml:space="preserve">4 августа 2011 года № 448</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yklo6evpnp1ixpjc3l0bh">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пунктах пропуска через государственную границу Кыргызской Республики</w:t>
      </w:r>
    </w:p>
    <w:p>
      <w:pPr>
        <w:spacing w:after="24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ПАСПОРТ
 пункта пропуска
 ___________________________________
 (наименование пункта пропуска)</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tfzqipbhcttyubvrilqjw">
        <w:r>
          <w:rPr>
            <w:rFonts w:ascii="Arial" w:cs="Arial" w:eastAsia="Arial" w:hAnsi="Arial"/>
            <w:i/>
            <w:iCs/>
            <w:color w:val="1D4ED8"/>
            <w:sz w:val="24"/>
            <w:szCs w:val="24"/>
            <w:u w:val="single"/>
          </w:rPr>
          <w:t xml:space="preserve">16 апреля 2015 года № 214</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6"/>
        <w:gridCol w:w="4586"/>
        <w:gridCol w:w="4586"/>
      </w:tblGrid>
      <w:tr>
        <w:tc>
          <w:tcPr>
            <w:tcW w:type="dxa" w:w="10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91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Общие данные</w:t>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принадлежность пункта пропуска</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сопредельное государство</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пункта пропуска на сопредельной стороне</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установления, открытия пункта пропуска</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пункта пропуска</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(место фактического расположения) пункта пропуска</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юридическое лицо, ответственное за эксплуатацию</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удаленность пункта пропуска от внешней границы Таможенного союза</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по характеру международного сообщения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по виду международного сообщения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по порядку функционирования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по кругу лиц, транспортных средств и товаров</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режим (распорядок) работы</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специализация пункта пропуска</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технологической системы двойного коридора ("красный" и "зеленый" каналы)</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проектная пропускная способность:</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транспортных средств</w:t>
            </w:r>
          </w:p>
          <w:p>
            <w:pPr>
              <w:jc w:val="left"/>
            </w:pPr>
            <w:r>
              <w:rPr>
                <w:rFonts w:ascii="Arial" w:cs="Arial" w:eastAsia="Arial" w:hAnsi="Arial"/>
                <w:sz w:val="24"/>
                <w:szCs w:val="24"/>
              </w:rPr>
              <w:t xml:space="preserve">лиц</w:t>
            </w:r>
          </w:p>
          <w:p>
            <w:pPr>
              <w:jc w:val="left"/>
            </w:pPr>
            <w:r>
              <w:rPr>
                <w:rFonts w:ascii="Arial" w:cs="Arial" w:eastAsia="Arial" w:hAnsi="Arial"/>
                <w:sz w:val="24"/>
                <w:szCs w:val="24"/>
              </w:rPr>
              <w:t xml:space="preserve">товаров</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91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систем государственного контроля в пунктах пропуска</w:t>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паспортного контроля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бесконтактного измерения температуры тела лиц</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осмотра (досмотра) багажа и ручной клади</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осмотра (досмотра) транспортных средств и товаров</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индивидуальной досмотровой комнаты (ИДК)</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электронного учета автотранспортных средств</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автоматического (поосного) определения весовых параметров и габаритных размеров автотранспортных средств</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радиационного контроля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обнаружения оружия, наркотиков и других товаров, запрещенных к ввозу, вывозу</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специальной, телефонной, радио и иной связи</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телевизионного (видео) наблюдения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пожарной сигнализации</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инженерных средств охраны, контроля доступом и охранной сигнализации</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интегрированная информационная система</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сбора и утилизации биологических отходов</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очистки и дезинфекции транспортных средств</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обеззараживания подкарантинной продукции</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часофикация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резервного питания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91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об организациях, осуществляемых свою деятельность в пункте пропуска, реквизиты, контактная информация (тел., факс, e-mail, другая информация)</w:t>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государственного контроля: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пограничный</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санитарно-карантинный</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ветеринарный</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карантинный фитосанитарный</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транспортный контроль</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fnmo5exsuvxgftfrbcz3">
      <w:r>
        <w:rPr>
          <w:rFonts w:ascii="Arial" w:cs="Arial" w:eastAsia="Arial" w:hAnsi="Arial"/>
          <w:color w:val="132D3F"/>
          <w:sz w:val="16"/>
          <w:szCs w:val="16"/>
          <w:u w:val="single"/>
        </w:rPr>
        <w:t xml:space="preserve">dalil.kg/document/54451</w:t>
      </w:r>
    </w:hyperlink>
  </w:p>
  <w:p>
    <w:pPr>
      <w:spacing w:after="0" w:before="40"/>
      <w:jc w:val="center"/>
    </w:pPr>
    <w:hyperlink w:history="1" r:id="rIdfhjiqhuef7fsrixozczx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sbghfvcpyrbm6lcgxyhh" Type="http://schemas.openxmlformats.org/officeDocument/2006/relationships/hyperlink" Target="https://dalil.kg/document/31749" TargetMode="External"/><Relationship Id="rId5ppfqrs1i_q9mzng4dzyj" Type="http://schemas.openxmlformats.org/officeDocument/2006/relationships/hyperlink" Target="https://dalil.kg/document/57664" TargetMode="External"/><Relationship Id="rIdenjuusogvhtz5kj6upy6z" Type="http://schemas.openxmlformats.org/officeDocument/2006/relationships/hyperlink" Target="https://dalil.kg/document/90993" TargetMode="External"/><Relationship Id="rIdyxyn2b-tbvr7beybw_z6u" Type="http://schemas.openxmlformats.org/officeDocument/2006/relationships/hyperlink" Target="https://dalil.kg/document/92833" TargetMode="External"/><Relationship Id="rIdzoxp8pbirttsh7tgpkfiq" Type="http://schemas.openxmlformats.org/officeDocument/2006/relationships/hyperlink" Target="https://dalil.kg/document/95437" TargetMode="External"/><Relationship Id="rIdk-jcg1fvsrvpdanhpjhiz" Type="http://schemas.openxmlformats.org/officeDocument/2006/relationships/hyperlink" Target="https://dalil.kg/document/93218" TargetMode="External"/><Relationship Id="rIdczxmkb56eqaouixj6zfdg" Type="http://schemas.openxmlformats.org/officeDocument/2006/relationships/hyperlink" Target="https://dalil.kg/document/94125" TargetMode="External"/><Relationship Id="rIdj9lwcmwtcgn5zzt4jrxsx" Type="http://schemas.openxmlformats.org/officeDocument/2006/relationships/hyperlink" Target="https://dalil.kg/document/97465" TargetMode="External"/><Relationship Id="rIdasgqgwlddlusxnzjkuzsk" Type="http://schemas.openxmlformats.org/officeDocument/2006/relationships/hyperlink" Target="https://dalil.kg/document/230004491" TargetMode="External"/><Relationship Id="rIdbay_ygh5_zi7gxwnaxeut" Type="http://schemas.openxmlformats.org/officeDocument/2006/relationships/hyperlink" Target="https://dalil.kg/document/230013299" TargetMode="External"/><Relationship Id="rIdbtkffadvpwns9bdtlcqpu" Type="http://schemas.openxmlformats.org/officeDocument/2006/relationships/hyperlink" Target="https://dalil.kg/document/194" TargetMode="External"/><Relationship Id="rIdly5w_ta6wu_s-n2bf3u1_" Type="http://schemas.openxmlformats.org/officeDocument/2006/relationships/hyperlink" Target="https://dalil.kg/document/54451#p1" TargetMode="External"/><Relationship Id="rIdmn58utqjn55y9qrxvynl3" Type="http://schemas.openxmlformats.org/officeDocument/2006/relationships/hyperlink" Target="https://dalil.kg/document/97465" TargetMode="External"/><Relationship Id="rId9j-wfsac4hzwzilu6avyl" Type="http://schemas.openxmlformats.org/officeDocument/2006/relationships/hyperlink" Target="https://dalil.kg/document/94125" TargetMode="External"/><Relationship Id="rIdilause7l3mry397d3tlgi" Type="http://schemas.openxmlformats.org/officeDocument/2006/relationships/hyperlink" Target="https://dalil.kg/document/94125" TargetMode="External"/><Relationship Id="rIduza0dimcatpja0tszlock" Type="http://schemas.openxmlformats.org/officeDocument/2006/relationships/hyperlink" Target="https://dalil.kg/document/230004491" TargetMode="External"/><Relationship Id="rIdql9vfkacb5zuy4mtjlna7" Type="http://schemas.openxmlformats.org/officeDocument/2006/relationships/hyperlink" Target="https://dalil.kg/document/230013299" TargetMode="External"/><Relationship Id="rIdyndoo9snxquhrm4nwjsm0" Type="http://schemas.openxmlformats.org/officeDocument/2006/relationships/hyperlink" Target="https://dalil.kg/document/92833" TargetMode="External"/><Relationship Id="rIdyklo6evpnp1ixpjc3l0bh" Type="http://schemas.openxmlformats.org/officeDocument/2006/relationships/hyperlink" Target="https://dalil.kg/document/54451" TargetMode="External"/><Relationship Id="rIdtfzqipbhcttyubvrilqjw" Type="http://schemas.openxmlformats.org/officeDocument/2006/relationships/hyperlink" Target="https://dalil.kg/document/97465"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fnmo5exsuvxgftfrbcz3" Type="http://schemas.openxmlformats.org/officeDocument/2006/relationships/hyperlink" Target="https://dalil.kg/document/54451" TargetMode="External"/><Relationship Id="rIdfhjiqhuef7fsrixozczx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2026-09-25T02:27:54.902Z</dcterms:created>
  <dcterms:modified xsi:type="dcterms:W3CDTF">2026-09-25T02:27:54.902Z</dcterms:modified>
</cp:coreProperties>
</file>

<file path=docProps/custom.xml><?xml version="1.0" encoding="utf-8"?>
<Properties xmlns="http://schemas.openxmlformats.org/officeDocument/2006/custom-properties" xmlns:vt="http://schemas.openxmlformats.org/officeDocument/2006/docPropsVTypes"/>
</file>