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i/>
          <w:iCs/>
          <w:sz w:val="24"/>
          <w:szCs w:val="24"/>
        </w:rPr>
        <w:t xml:space="preserve">Утратил силу</w:t>
      </w:r>
      <w:r>
        <w:rPr>
          <w:rFonts w:ascii="Arial" w:cs="Arial" w:eastAsia="Arial" w:hAnsi="Arial"/>
          <w:i/>
          <w:iCs/>
          <w:sz w:val="24"/>
          <w:szCs w:val="24"/>
        </w:rPr>
        <w:t xml:space="preserve">            в соответсвии с </w:t>
      </w:r>
      <w:hyperlink w:history="1" r:id="rIdcq8so_y5s-wgd4yknqhry">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Кабинета Министров</w:t>
      </w:r>
      <w:r>
        <w:rPr>
          <w:rFonts w:ascii="Arial" w:cs="Arial" w:eastAsia="Arial" w:hAnsi="Arial"/>
          <w:i/>
          <w:iCs/>
          <w:sz w:val="24"/>
          <w:szCs w:val="24"/>
        </w:rPr>
        <w:t xml:space="preserve"> КР</w:t>
      </w:r>
      <w:r>
        <w:rPr>
          <w:rFonts w:ascii="Arial" w:cs="Arial" w:eastAsia="Arial" w:hAnsi="Arial"/>
          <w:i/>
          <w:iCs/>
          <w:sz w:val="24"/>
          <w:szCs w:val="24"/>
        </w:rPr>
        <w:t xml:space="preserve">                    от 2</w:t>
      </w:r>
      <w:r>
        <w:rPr>
          <w:rFonts w:ascii="Arial" w:cs="Arial" w:eastAsia="Arial" w:hAnsi="Arial"/>
          <w:i/>
          <w:iCs/>
          <w:sz w:val="24"/>
          <w:szCs w:val="24"/>
        </w:rPr>
        <w:t xml:space="preserve">5 марта</w:t>
      </w:r>
      <w:r>
        <w:rPr>
          <w:rFonts w:ascii="Arial" w:cs="Arial" w:eastAsia="Arial" w:hAnsi="Arial"/>
          <w:i/>
          <w:iCs/>
          <w:sz w:val="24"/>
          <w:szCs w:val="24"/>
        </w:rPr>
        <w:t xml:space="preserve"> 2</w:t>
      </w:r>
      <w:r>
        <w:rPr>
          <w:rFonts w:ascii="Arial" w:cs="Arial" w:eastAsia="Arial" w:hAnsi="Arial"/>
          <w:i/>
          <w:iCs/>
          <w:sz w:val="24"/>
          <w:szCs w:val="24"/>
        </w:rPr>
        <w:t xml:space="preserve">022</w:t>
      </w:r>
      <w:r>
        <w:rPr>
          <w:rFonts w:ascii="Arial" w:cs="Arial" w:eastAsia="Arial" w:hAnsi="Arial"/>
          <w:i/>
          <w:iCs/>
          <w:sz w:val="24"/>
          <w:szCs w:val="24"/>
        </w:rPr>
        <w:t xml:space="preserve"> года № </w:t>
      </w:r>
      <w:r>
        <w:rPr>
          <w:rFonts w:ascii="Arial" w:cs="Arial" w:eastAsia="Arial" w:hAnsi="Arial"/>
          <w:i/>
          <w:iCs/>
          <w:sz w:val="24"/>
          <w:szCs w:val="24"/>
        </w:rPr>
        <w:t xml:space="preserve">166</w:t>
      </w:r>
      <w:r>
        <w:rPr>
          <w:rFonts w:ascii="Arial" w:cs="Arial" w:eastAsia="Arial" w:hAnsi="Arial"/>
          <w:sz w:val="24"/>
          <w:szCs w:val="24"/>
        </w:rPr>
        <w:t xml:space="preserve">г. Бишкек, Дом Правительстваот 17 ноября 2003 года № 724              ПОСТАНОВЛЕНИЕ ПРАВИТЕЛЬСТВА КЫРГЫЗСКОЙ РЕСПУБЛИКИ             О заключении на проект Закона Кыргызской Республики         «О внесении дополнений в Закон Кыргызскои Республики                        «Об электроэнергетике»      В  соответствии  с  пунктом  3  статьи  65  Конституции  КыргызскойРеспублики Правительство Кыргызской Республики постановляет :      1.  Не  согласиться  с  проектом Закона  Кыргызской  Республики  «Овнесении    дополнений    в    Закон   Кыргызской    Республики    «Обэлектроэнергетике» на основании прилагаемого заключения.      2.  Направить  настоящее постановление в Жогорку  Кенеш  КыргызскойРеспублики.         Премьер-министр                                   Н.Танаев                                                       Законодательное собрание                                  Жогорку Кенеша Кыргызскоп Республики                                                                 Заключение     на проект Закона Кыргызской Республики «О внесении дополнении         в Закон Кыргызской Республики «Об электроэнергетике»      Правительство   Кыргызской  Республики,  рассмотрев  инициированныйдепутатом   Законодательного  собрания   Жогорку   Кенеша   КыргызскойРеспублики  И.Кадырбековым  проект  Закона  Кыргызской  Республики  «Овнесении    дополнений    в    </w:t>
      </w:r>
      <w:hyperlink w:history="1" r:id="rIds7igftifxj04qkkawlyc5">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«Обэлектроэнергетике»  и руководствуясь пунктом 3 статьи  65  </w:t>
      </w:r>
      <w:hyperlink w:history="1" r:id="rIdp56kmxvqoi_pvswub79gy">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Кыргызской  Республики,  считает  его  принятие  нецелесообразным   последующим основаниям.   Предлагаемый   проект   нарушает   один   из   основных   принциповгражданского  права,  принцип  равенства  правового  режима  для  всехсубъектов права. Предложенная сумма неустойки несоразмерно высока и несоответствует  ущербу  за  один  час  перерыва  в  электроснабжении  убытового  абонента.  Дополнения  к Закону  не  предусматривают  равнуюответственность   сторон.  Так,  неустойка  взимается   по   истечениидлительности  перерыва,  при  этом не  предусматривается  обязательныйсудебный  порядок,  в  то  же  время  отключения  за  неуплату   могутприменяться только после образования 3-месячной задолженности и тольков судебном порядке.   Требования  пункта 3 статьи 154 предложенного проекта  противоречатстатье  17  Закона  Кыргызской Республики  «Об  электроэнергетике».  Всоответствии  с  указанной  статьей  не  требуется  трех  месяцев  дляпрекращения  подачи  электроэнергии. Если  потребитель  не  производитоплату   в   течение  срока,  указанного  в  контракте   на   поставкуэлектроэнергии,  распределяющее предприятие вправе  прервать  оказаниеуслуг  в  соответствии  с  условиями и процедурами,  установленными  вдоговоре  на  энергоснабжение. Изложенные в  редакции  пункты  1  и  2проекта   Закона  касаются  работы  электрораспредкомпаний,   взаимнаяответственность которых оговорена в контракте.   На   сегодняшний  день  энергоснабжающие  компании  не  располагаютдостаточными   средствами  для  обеспечения  выплат  указанной   суммынеустойки  за каждое производимое отключение. Следовательно,  введениенеустойки приведёт к необходимости страховать имущество энергокомпани,что повлечет значительное повышение тарифа.   Как  показал  опыт, существующие взаимоотношения между  поставщикомэлектрической энергии и потребителями в сфере потребления и оплаты из-за   ряда  объективных  причин  не  в  состоянии  обеспечить  заметноеувеличение  сбора  денег. Адресные отключения задолжнике  не  приносятрезультатов из-за самовольного подключения. Необходимо также учитыватьтехнические возможности электрических сетей.   В настоящее время тариф на электроэнергию не соответствует затратамна  ее производство, поэтому состояние электрических сетей не отвечаеттребованиям  правил,  что  ведет к росту  аварийных  перерывов.  СеверКыргызской Республики уже исчерпал возможности электрических сетей  попропуску   электрической   мощности  в  часы  максимальных   нагрузок.Необходимо  также учесть, что в статье 14 Закона Кыргызской Республики«Об    электроэнергетике»    уже    заложена    норма,    регулирующаяответственность   предприятий  по  возмещению   материального   ущербапотребителю.   Более   подробно  такая  ответственность   регулируетсядоговором  на  оказание  услуг населению  по  снабжению  электрическойэнергией,  утвержденным Государственным агентством по  энергетике  приПравительстве    Кыргызской   Республики   и   зарегистрированным    вМинистерстве юстиции Кыргызской Республики.   Действующие тарифы не покрывают затрат на производство, передачу  ираспределение   электроэнергии  для  конкретного   потребления,   идутпостоянные  неплатежи  со стороны потребителей  электроэнергии  (на  Iоктября  2003  года  дебиторская  задолженность  составила  2252  млн.сомон).    Эти    факты    не   позволяют   поддерживать    финансовуюжизнеспособность   энергокомпаний  и   осуществлять   качественное   ибесперебойное снабжение потребителей электроэнергией, соответствующегонормам стандарта.   С  учетом изложенного, считаем принятие предложенного законопроектапреждевременным.      Премьер-министр   Кыргызской Республики                               Н.Танаев</w:t>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cq8so_y5s-wgd4yknqhry" Type="http://schemas.openxmlformats.org/officeDocument/2006/relationships/hyperlink" Target="http://kodeks.duckdns.org/document/159126" TargetMode="External"/><Relationship Id="rIds7igftifxj04qkkawlyc5" Type="http://schemas.openxmlformats.org/officeDocument/2006/relationships/hyperlink" Target="http://kodeks.duckdns.org/document/508" TargetMode="External"/><Relationship Id="rIdp56kmxvqoi_pvswub79gy" Type="http://schemas.openxmlformats.org/officeDocument/2006/relationships/hyperlink" Target="http://kodeks.duckdns.org/document/1" TargetMode="External"/><Relationship Id="rId7" Type="http://schemas.openxmlformats.org/officeDocument/2006/relationships/image" Target="media/93bec1c1538034512fe33c1434ae0ea86b639d33.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2026-09-23T07:38:22.838Z</dcterms:created>
  <dcterms:modified xsi:type="dcterms:W3CDTF">2026-09-23T07:38:22.838Z</dcterms:modified>
</cp:coreProperties>
</file>

<file path=docProps/custom.xml><?xml version="1.0" encoding="utf-8"?>
<Properties xmlns="http://schemas.openxmlformats.org/officeDocument/2006/custom-properties" xmlns:vt="http://schemas.openxmlformats.org/officeDocument/2006/docPropsVTypes"/>
</file>