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30-ноября 2022 года № XXVIII/13-1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Чон-Кеминского айыльного кенеша за № XXVII/11-4 от 28 марта 2018 года о даче согласия на передачу села Торт-Куль в введение Чон-Кеминского айыл окмоту и трансформации земельного участка общей площадью 394,7 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пояснительной записки Службы земельных ресурсов при Министерстве сельского хозяйства Кыргызской Республики от 31 октября 2022 года за № 02-11/2780 внеочередная 13 сессия 28 созыва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hyperlink w:history="1" r:id="rId9pxivy7wcdxwxqcozy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Чон-Кеминского айыльного кенеша за № XXVII/11-4 от 28 марта 2018 года исключить слова «земельные участки общей площадью 394,7 га» и вместо этого дополнить словами «общая площадь земли составляет 254,23 га. Земельные участки со следующими инвентарными номерами: 931/0,5 га (пастбище); 932/1,8 га (пастбище); 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 , (общая площадь земель квартала № 30 по материалам лесоустройства 95 га (из них под передачу (трансформации) Из общей площади земель выбытия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41,93 га</w:t>
      </w:r>
      <w:r>
        <w:rPr>
          <w:rFonts w:ascii="Arial" w:cs="Arial" w:eastAsia="Arial" w:hAnsi="Arial"/>
          <w:sz w:val="24"/>
          <w:szCs w:val="24"/>
        </w:rPr>
        <w:t xml:space="preserve">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112,8 га</w:t>
      </w:r>
      <w:r>
        <w:rPr>
          <w:rFonts w:ascii="Arial" w:cs="Arial" w:eastAsia="Arial" w:hAnsi="Arial"/>
          <w:sz w:val="24"/>
          <w:szCs w:val="24"/>
        </w:rPr>
        <w:t xml:space="preserve">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99,5 га</w:t>
      </w:r>
      <w:r>
        <w:rPr>
          <w:rFonts w:ascii="Arial" w:cs="Arial" w:eastAsia="Arial" w:hAnsi="Arial"/>
          <w:sz w:val="24"/>
          <w:szCs w:val="24"/>
        </w:rPr>
        <w:t xml:space="preserve">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 земель находящиеся в государственной собственности «земли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га,</w:t>
      </w:r>
      <w:r>
        <w:rPr>
          <w:rFonts w:ascii="Arial" w:cs="Arial" w:eastAsia="Arial" w:hAnsi="Arial"/>
          <w:sz w:val="24"/>
          <w:szCs w:val="24"/>
        </w:rPr>
        <w:t xml:space="preserve"> перевести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210,03га</w:t>
      </w:r>
      <w:r>
        <w:rPr>
          <w:rFonts w:ascii="Arial" w:cs="Arial" w:eastAsia="Arial" w:hAnsi="Arial"/>
          <w:sz w:val="24"/>
          <w:szCs w:val="24"/>
        </w:rPr>
        <w:t xml:space="preserve"> 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44,2</w:t>
      </w:r>
      <w:r>
        <w:rPr>
          <w:rFonts w:ascii="Arial" w:cs="Arial" w:eastAsia="Arial" w:hAnsi="Arial"/>
          <w:sz w:val="24"/>
          <w:szCs w:val="24"/>
        </w:rPr>
        <w:t xml:space="preserve">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Запросить соответствующие органы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Запросить соответствующие органы на замену земель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</w:t>
      </w:r>
      <w:r>
        <w:rPr>
          <w:rFonts w:ascii="Arial" w:cs="Arial" w:eastAsia="Arial" w:hAnsi="Arial"/>
          <w:sz w:val="24"/>
          <w:szCs w:val="24"/>
        </w:rPr>
        <w:t xml:space="preserve"> на взамен равновеликий участок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га</w:t>
      </w:r>
      <w:r>
        <w:rPr>
          <w:rFonts w:ascii="Arial" w:cs="Arial" w:eastAsia="Arial" w:hAnsi="Arial"/>
          <w:sz w:val="24"/>
          <w:szCs w:val="24"/>
        </w:rPr>
        <w:t xml:space="preserve">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2743/0,2га (с каменистым пастбищным лесом); 2744/143,5 га (каменистое пастбище); 2745/0,1 га (с каменистым пастбищным лесом); 2746/0,7 га (каменистое пастбище); 2747/0,6га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xouysxwqwiuwbkjeu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dalil.kg/document/550909</w:t>
      </w:r>
    </w:hyperlink>
  </w:p>
  <w:p>
    <w:pPr>
      <w:spacing w:after="0" w:before="40"/>
      <w:jc w:val="center"/>
    </w:pPr>
    <w:hyperlink w:history="1" r:id="rId4egkiht5hszb1e_zd9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ivy7wcdxwxqcozysnh" Type="http://schemas.openxmlformats.org/officeDocument/2006/relationships/hyperlink" Target="https://dalil.kg/document/110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xouysxwqwiuwbkjeu6z" Type="http://schemas.openxmlformats.org/officeDocument/2006/relationships/hyperlink" Target="https://dalil.kg/document/550909" TargetMode="External"/><Relationship Id="rId4egkiht5hszb1e_zd9t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2026-09-29T22:35:03.858Z</dcterms:created>
  <dcterms:modified xsi:type="dcterms:W3CDTF">2026-09-29T22:35:03.858Z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