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30-ноября 2022 года № XXVIII/13-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постановление Чон-Кеминского айыльного кенеша за № XXVIII/5-2 от 24 ноября 2021 года о даче согласия на передачу села Торт-Куль Чон-Кеминскому айыл окмоту и трансформации земельного участка общей площадью 394,7 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пояснительной записки Службы земельных ресурсов при Министерстве сельского хозяйства Кыргызской Республики от 31 октября 2022 года за № 02-11/2780 внеочередная 13 сессия 28 созыва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</w:t>
      </w:r>
      <w:hyperlink w:history="1" r:id="rIddagbbc-vqamyiyjaqx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Чон-Кеминского айыльного кенеша за № XXVIII/5-2 от 24 ноября 2021 года исключить слова «Дать согласие на передачу и трансформации земельных участков площадью 394,7 га» и вместо этого дополнить словами «общая площадь земли составляет 254,23 га. Земельные участки со следующими инвентарными номерами: 931/0,5 га (пастбище); 932/1,8 га (пастбище); 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скотопрогон), (общая площадь земель квартала № 30 по материалам лесоустройства 95 га (из них под передачу (трансформации) Из общей площади земель выбытия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41,93 га</w:t>
      </w:r>
      <w:r>
        <w:rPr>
          <w:rFonts w:ascii="Arial" w:cs="Arial" w:eastAsia="Arial" w:hAnsi="Arial"/>
          <w:sz w:val="24"/>
          <w:szCs w:val="24"/>
        </w:rPr>
        <w:t xml:space="preserve">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112,8 га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99,5</w:t>
      </w:r>
      <w:r>
        <w:rPr>
          <w:rFonts w:ascii="Arial" w:cs="Arial" w:eastAsia="Arial" w:hAnsi="Arial"/>
          <w:sz w:val="24"/>
          <w:szCs w:val="24"/>
        </w:rPr>
        <w:t xml:space="preserve"> га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 земель находящиеся в государственной собственности «земли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 </w:t>
      </w:r>
      <w:r>
        <w:rPr>
          <w:rFonts w:ascii="Arial" w:cs="Arial" w:eastAsia="Arial" w:hAnsi="Arial"/>
          <w:sz w:val="24"/>
          <w:szCs w:val="24"/>
        </w:rPr>
        <w:t xml:space="preserve">га, перевести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210,03га</w:t>
      </w:r>
      <w:r>
        <w:rPr>
          <w:rFonts w:ascii="Arial" w:cs="Arial" w:eastAsia="Arial" w:hAnsi="Arial"/>
          <w:sz w:val="24"/>
          <w:szCs w:val="24"/>
        </w:rPr>
        <w:t xml:space="preserve"> 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44,2</w:t>
      </w:r>
      <w:r>
        <w:rPr>
          <w:rFonts w:ascii="Arial" w:cs="Arial" w:eastAsia="Arial" w:hAnsi="Arial"/>
          <w:sz w:val="24"/>
          <w:szCs w:val="24"/>
        </w:rPr>
        <w:t xml:space="preserve">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Дать согласие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Дать согласие на замену земель особо охраняемых природных территорий»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</w:t>
      </w:r>
      <w:r>
        <w:rPr>
          <w:rFonts w:ascii="Arial" w:cs="Arial" w:eastAsia="Arial" w:hAnsi="Arial"/>
          <w:sz w:val="24"/>
          <w:szCs w:val="24"/>
        </w:rPr>
        <w:t xml:space="preserve"> га на взамен равновеликий земельный участок общей площадью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254,23</w:t>
      </w:r>
      <w:r>
        <w:rPr>
          <w:rFonts w:ascii="Arial" w:cs="Arial" w:eastAsia="Arial" w:hAnsi="Arial"/>
          <w:sz w:val="24"/>
          <w:szCs w:val="24"/>
        </w:rPr>
        <w:t xml:space="preserve"> га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 га (с каменистым пастбищным лесом); 2744/143,5 га (каменистое пастбище); 2745/0,1 га (с каменистым пастбищным лесом); 2746/0,7 га (каменистое пастбище); 2747/0,6 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А.А.Жумабеков.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rbpk3pjxvrvo59lyu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dalil.kg/document/550910</w:t>
      </w:r>
    </w:hyperlink>
  </w:p>
  <w:p>
    <w:pPr>
      <w:spacing w:after="0" w:before="40"/>
      <w:jc w:val="center"/>
    </w:pPr>
    <w:hyperlink w:history="1" r:id="rIdtyslp_mma-09mzrsukk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gbbc-vqamyiyjaqxnyv" Type="http://schemas.openxmlformats.org/officeDocument/2006/relationships/hyperlink" Target="https://dalil.kg/document/550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rbpk3pjxvrvo59lyuog" Type="http://schemas.openxmlformats.org/officeDocument/2006/relationships/hyperlink" Target="https://dalil.kg/document/550910" TargetMode="External"/><Relationship Id="rIdtyslp_mma-09mzrsukk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2026-09-29T22:34:22.183Z</dcterms:created>
  <dcterms:modified xsi:type="dcterms:W3CDTF">2026-09-29T22:34:22.183Z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