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5qzgq7l4lkwnygo98w9-n">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г.Бишкек, Дом Правительства</w:t>
      </w:r>
    </w:p>
    <w:p>
      <w:pPr>
        <w:spacing w:after="120"/>
        <w:jc w:val="both"/>
      </w:pPr>
      <w:r>
        <w:rPr>
          <w:rFonts w:ascii="Arial" w:cs="Arial" w:eastAsia="Arial" w:hAnsi="Arial"/>
          <w:sz w:val="20"/>
          <w:szCs w:val="20"/>
        </w:rPr>
        <w:t xml:space="preserve">от 27 июля 2004 года N 555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ПОСТАНОВЛЕНИЕ ПРАВИТЕЛЬСТВА КЫРГЫЗСКОЙ РЕСПУБЛИКИ</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Об утверждении Комплексной программы развития</w:t>
      </w:r>
    </w:p>
    <w:p>
      <w:pPr>
        <w:spacing w:after="120"/>
        <w:jc w:val="center"/>
      </w:pPr>
      <w:r>
        <w:rPr>
          <w:rFonts w:ascii="Arial" w:cs="Arial" w:eastAsia="Arial" w:hAnsi="Arial"/>
          <w:sz w:val="20"/>
          <w:szCs w:val="20"/>
        </w:rPr>
        <w:t xml:space="preserve">рынка ценных бумаг в Кыргызской Республике</w:t>
      </w:r>
    </w:p>
    <w:p>
      <w:pPr>
        <w:spacing w:after="120"/>
        <w:jc w:val="center"/>
      </w:pPr>
      <w:r>
        <w:rPr>
          <w:rFonts w:ascii="Arial" w:cs="Arial" w:eastAsia="Arial" w:hAnsi="Arial"/>
          <w:sz w:val="20"/>
          <w:szCs w:val="20"/>
        </w:rPr>
        <w:t xml:space="preserve">на 2004-2006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целях последовательного осуществления государственной политики по активизации развития и укрепления рынка ценных бумаг в Кыргызской Республике Правительство Кыргызской Республики постановляет:</w:t>
      </w:r>
    </w:p>
    <w:p>
      <w:pPr>
        <w:spacing w:after="120"/>
        <w:ind w:firstLine="567"/>
        <w:jc w:val="both"/>
      </w:pPr>
      <w:r>
        <w:rPr>
          <w:rFonts w:ascii="Arial" w:cs="Arial" w:eastAsia="Arial" w:hAnsi="Arial"/>
          <w:sz w:val="20"/>
          <w:szCs w:val="20"/>
        </w:rPr>
        <w:t xml:space="preserve">1. Утвердить прилагаемую Комплексную программу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2. Министерствам, государственным комитетам, административным ведомствам, государственным комиссиям, местным государственным администрациям и органам местного самоуправления принять конкретные меры по исполнению в установленные сроки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3. Государственной комиссии при Правительстве Кыргызской Республики по рынку ценных бумаг ежеквартально, не позднее 15 числа месяца, следующего за отчетным кварталом, представлять в Правительство Кыргызской Республики информацию о ходе выполнения мероприятий по реализации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4. Государственной комиссии при Правительстве Кыргызской Республики по рынку ценных бумаг совместно с Министерством финансов Кыргызской Республики провести работу с международными финансовыми институтами и странами-донорами по вопросу предоставления грантов для реализации Комплексной программы развития рынка ценных бумаг в Кыргызской Республике на 2004-2006 годы.</w:t>
      </w:r>
    </w:p>
    <w:p>
      <w:pPr>
        <w:spacing w:after="120"/>
        <w:ind w:firstLine="567"/>
        <w:jc w:val="both"/>
      </w:pPr>
      <w:r>
        <w:rPr>
          <w:rFonts w:ascii="Arial" w:cs="Arial" w:eastAsia="Arial" w:hAnsi="Arial"/>
          <w:sz w:val="20"/>
          <w:szCs w:val="20"/>
        </w:rPr>
        <w:t xml:space="preserve">5. Государственной комиссии при Правительстве Кыргызской Республики по рынку ценных бумаг обеспечить регулярное освещение хода выполнения мероприятий Комплексной программы развития рынка ценных бумаг в Кыргызской Республике на 2004-2006 годы в средствах массовой информации республики.</w:t>
      </w:r>
    </w:p>
    <w:p>
      <w:pPr>
        <w:spacing w:after="120"/>
        <w:ind w:firstLine="567"/>
        <w:jc w:val="both"/>
      </w:pPr>
      <w:r>
        <w:rPr>
          <w:rFonts w:ascii="Arial" w:cs="Arial" w:eastAsia="Arial" w:hAnsi="Arial"/>
          <w:sz w:val="20"/>
          <w:szCs w:val="20"/>
        </w:rPr>
        <w:t xml:space="preserve">6. Контроль за выполнением настоящего постановления возложить на управление экономики, промышленности и торговли Аппарата Премьер-министра Кыргызской Республики.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Премьер-министр Кыргызской Республики Н.Танаев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УТРАТИЛА СИЛУ</w:t>
      </w:r>
    </w:p>
    <w:p>
      <w:pPr>
        <w:spacing w:after="120"/>
        <w:jc w:val="center"/>
      </w:pPr>
      <w:r>
        <w:rPr>
          <w:rFonts w:ascii="Arial" w:cs="Arial" w:eastAsia="Arial" w:hAnsi="Arial"/>
          <w:sz w:val="20"/>
          <w:szCs w:val="20"/>
        </w:rPr>
        <w:t xml:space="preserve">в соответствии с </w:t>
      </w:r>
      <w:hyperlink w:history="1" r:id="rIdacugn2vg1xwhmf-j75tt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center"/>
      </w:pPr>
      <w:r>
        <w:rPr>
          <w:rFonts w:ascii="Arial" w:cs="Arial" w:eastAsia="Arial" w:hAnsi="Arial"/>
          <w:sz w:val="20"/>
          <w:szCs w:val="20"/>
        </w:rPr>
        <w:t xml:space="preserve">от 22 января 2018 года N 49</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Утверждена</w:t>
      </w:r>
    </w:p>
    <w:p>
      <w:pPr>
        <w:spacing w:after="120"/>
        <w:jc w:val="right"/>
      </w:pPr>
      <w:hyperlink w:history="1" r:id="rIdde__bbzbj-jmjgwv-wfpa">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w:t>
      </w:r>
    </w:p>
    <w:p>
      <w:pPr>
        <w:spacing w:after="120"/>
        <w:jc w:val="right"/>
      </w:pPr>
      <w:r>
        <w:rPr>
          <w:rFonts w:ascii="Arial" w:cs="Arial" w:eastAsia="Arial" w:hAnsi="Arial"/>
          <w:sz w:val="20"/>
          <w:szCs w:val="20"/>
        </w:rPr>
        <w:t xml:space="preserve">Кыргызской Республики</w:t>
      </w:r>
    </w:p>
    <w:p>
      <w:pPr>
        <w:spacing w:after="120"/>
        <w:jc w:val="right"/>
      </w:pPr>
      <w:r>
        <w:rPr>
          <w:rFonts w:ascii="Arial" w:cs="Arial" w:eastAsia="Arial" w:hAnsi="Arial"/>
          <w:sz w:val="20"/>
          <w:szCs w:val="20"/>
        </w:rPr>
        <w:t xml:space="preserve">от 27 июля 2004 года N 555</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sz w:val="20"/>
          <w:szCs w:val="20"/>
        </w:rPr>
        <w:t xml:space="preserve">КОМПЛЕКСНАЯ ПРОГРАММА</w:t>
      </w:r>
    </w:p>
    <w:p>
      <w:pPr>
        <w:spacing w:after="120"/>
        <w:jc w:val="center"/>
      </w:pPr>
      <w:r>
        <w:rPr>
          <w:rFonts w:ascii="Arial" w:cs="Arial" w:eastAsia="Arial" w:hAnsi="Arial"/>
          <w:sz w:val="20"/>
          <w:szCs w:val="20"/>
        </w:rPr>
        <w:t xml:space="preserve">развития рынка ценных бумаг в Кыргызской Республике</w:t>
      </w:r>
    </w:p>
    <w:p>
      <w:pPr>
        <w:spacing w:after="120"/>
        <w:jc w:val="center"/>
      </w:pPr>
      <w:r>
        <w:rPr>
          <w:rFonts w:ascii="Arial" w:cs="Arial" w:eastAsia="Arial" w:hAnsi="Arial"/>
          <w:sz w:val="20"/>
          <w:szCs w:val="20"/>
        </w:rPr>
        <w:t xml:space="preserve">на 2004-2006 годы</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1. Введение</w:t>
      </w:r>
    </w:p>
    <w:p>
      <w:pPr>
        <w:spacing w:after="120"/>
        <w:ind w:firstLine="567"/>
        <w:jc w:val="both"/>
      </w:pPr>
      <w:r>
        <w:rPr>
          <w:rFonts w:ascii="Arial" w:cs="Arial" w:eastAsia="Arial" w:hAnsi="Arial"/>
          <w:sz w:val="20"/>
          <w:szCs w:val="20"/>
        </w:rPr>
        <w:t xml:space="preserve">2. Обзор текущего состояния рынка ценных бумаг</w:t>
      </w:r>
    </w:p>
    <w:p>
      <w:pPr>
        <w:spacing w:after="120"/>
        <w:ind w:firstLine="567"/>
        <w:jc w:val="both"/>
      </w:pPr>
      <w:r>
        <w:rPr>
          <w:rFonts w:ascii="Arial" w:cs="Arial" w:eastAsia="Arial" w:hAnsi="Arial"/>
          <w:sz w:val="20"/>
          <w:szCs w:val="20"/>
        </w:rPr>
        <w:t xml:space="preserve">3. Основные цели развития рынка ценных бумаг и задачи</w:t>
      </w:r>
    </w:p>
    <w:p>
      <w:pPr>
        <w:spacing w:after="120"/>
        <w:ind w:firstLine="567"/>
        <w:jc w:val="center"/>
      </w:pPr>
      <w:r>
        <w:rPr>
          <w:rFonts w:ascii="Arial" w:cs="Arial" w:eastAsia="Arial" w:hAnsi="Arial"/>
          <w:sz w:val="20"/>
          <w:szCs w:val="20"/>
        </w:rPr>
        <w:t xml:space="preserve">Программы</w:t>
      </w:r>
    </w:p>
    <w:p>
      <w:pPr>
        <w:spacing w:after="120"/>
        <w:ind w:firstLine="567"/>
        <w:jc w:val="both"/>
      </w:pPr>
      <w:r>
        <w:rPr>
          <w:rFonts w:ascii="Arial" w:cs="Arial" w:eastAsia="Arial" w:hAnsi="Arial"/>
          <w:sz w:val="20"/>
          <w:szCs w:val="20"/>
        </w:rPr>
        <w:t xml:space="preserve">4. Пути достижения целей и реализации поставленных задач</w:t>
      </w:r>
    </w:p>
    <w:p>
      <w:pPr>
        <w:spacing w:after="120"/>
        <w:ind w:firstLine="567"/>
        <w:jc w:val="center"/>
      </w:pPr>
      <w:r>
        <w:rPr>
          <w:rFonts w:ascii="Arial" w:cs="Arial" w:eastAsia="Arial" w:hAnsi="Arial"/>
          <w:sz w:val="20"/>
          <w:szCs w:val="20"/>
        </w:rPr>
        <w:t xml:space="preserve">Обеспечение транспарентности рынка ценных бумаг</w:t>
      </w:r>
    </w:p>
    <w:p>
      <w:pPr>
        <w:spacing w:after="120"/>
        <w:ind w:firstLine="567"/>
        <w:jc w:val="center"/>
      </w:pPr>
      <w:r>
        <w:rPr>
          <w:rFonts w:ascii="Arial" w:cs="Arial" w:eastAsia="Arial" w:hAnsi="Arial"/>
          <w:sz w:val="20"/>
          <w:szCs w:val="20"/>
        </w:rPr>
        <w:t xml:space="preserve">Разграничение регулирования публичных и непубличных</w:t>
      </w:r>
    </w:p>
    <w:p>
      <w:pPr>
        <w:spacing w:after="120"/>
        <w:ind w:firstLine="567"/>
        <w:jc w:val="center"/>
      </w:pPr>
      <w:r>
        <w:rPr>
          <w:rFonts w:ascii="Arial" w:cs="Arial" w:eastAsia="Arial" w:hAnsi="Arial"/>
          <w:sz w:val="20"/>
          <w:szCs w:val="20"/>
        </w:rPr>
        <w:t xml:space="preserve">эмитентов ценных бумаг</w:t>
      </w:r>
    </w:p>
    <w:p>
      <w:pPr>
        <w:spacing w:after="120"/>
        <w:ind w:firstLine="567"/>
        <w:jc w:val="center"/>
      </w:pPr>
      <w:r>
        <w:rPr>
          <w:rFonts w:ascii="Arial" w:cs="Arial" w:eastAsia="Arial" w:hAnsi="Arial"/>
          <w:sz w:val="20"/>
          <w:szCs w:val="20"/>
        </w:rPr>
        <w:t xml:space="preserve">Создание на рынке ценных бумаг сегмента,</w:t>
      </w:r>
    </w:p>
    <w:p>
      <w:pPr>
        <w:spacing w:after="120"/>
        <w:ind w:firstLine="567"/>
        <w:jc w:val="center"/>
      </w:pPr>
      <w:r>
        <w:rPr>
          <w:rFonts w:ascii="Arial" w:cs="Arial" w:eastAsia="Arial" w:hAnsi="Arial"/>
          <w:sz w:val="20"/>
          <w:szCs w:val="20"/>
        </w:rPr>
        <w:t xml:space="preserve">представленного высококачественными финансовыми</w:t>
      </w:r>
    </w:p>
    <w:p>
      <w:pPr>
        <w:spacing w:after="120"/>
        <w:ind w:firstLine="567"/>
        <w:jc w:val="center"/>
      </w:pPr>
      <w:r>
        <w:rPr>
          <w:rFonts w:ascii="Arial" w:cs="Arial" w:eastAsia="Arial" w:hAnsi="Arial"/>
          <w:sz w:val="20"/>
          <w:szCs w:val="20"/>
        </w:rPr>
        <w:t xml:space="preserve">инструментами рынка ценных бумаг</w:t>
      </w:r>
    </w:p>
    <w:p>
      <w:pPr>
        <w:spacing w:after="120"/>
        <w:ind w:firstLine="567"/>
        <w:jc w:val="center"/>
      </w:pPr>
      <w:r>
        <w:rPr>
          <w:rFonts w:ascii="Arial" w:cs="Arial" w:eastAsia="Arial" w:hAnsi="Arial"/>
          <w:sz w:val="20"/>
          <w:szCs w:val="20"/>
        </w:rPr>
        <w:t xml:space="preserve">Обеспечение надежности системы регистрации прав на</w:t>
      </w:r>
    </w:p>
    <w:p>
      <w:pPr>
        <w:spacing w:after="120"/>
        <w:ind w:firstLine="567"/>
        <w:jc w:val="center"/>
      </w:pPr>
      <w:r>
        <w:rPr>
          <w:rFonts w:ascii="Arial" w:cs="Arial" w:eastAsia="Arial" w:hAnsi="Arial"/>
          <w:sz w:val="20"/>
          <w:szCs w:val="20"/>
        </w:rPr>
        <w:t xml:space="preserve">ценные бумаги</w:t>
      </w:r>
    </w:p>
    <w:p>
      <w:pPr>
        <w:spacing w:after="120"/>
        <w:ind w:firstLine="567"/>
        <w:jc w:val="center"/>
      </w:pPr>
      <w:r>
        <w:rPr>
          <w:rFonts w:ascii="Arial" w:cs="Arial" w:eastAsia="Arial" w:hAnsi="Arial"/>
          <w:sz w:val="20"/>
          <w:szCs w:val="20"/>
        </w:rPr>
        <w:t xml:space="preserve">Установление единых стандартов обращения ценных бумаг</w:t>
      </w:r>
    </w:p>
    <w:p>
      <w:pPr>
        <w:spacing w:after="120"/>
        <w:ind w:firstLine="567"/>
        <w:jc w:val="center"/>
      </w:pPr>
      <w:r>
        <w:rPr>
          <w:rFonts w:ascii="Arial" w:cs="Arial" w:eastAsia="Arial" w:hAnsi="Arial"/>
          <w:sz w:val="20"/>
          <w:szCs w:val="20"/>
        </w:rPr>
        <w:t xml:space="preserve">Расширение круга финансовых инструментов рынка ценных</w:t>
      </w:r>
    </w:p>
    <w:p>
      <w:pPr>
        <w:spacing w:after="120"/>
        <w:ind w:firstLine="567"/>
        <w:jc w:val="center"/>
      </w:pPr>
      <w:r>
        <w:rPr>
          <w:rFonts w:ascii="Arial" w:cs="Arial" w:eastAsia="Arial" w:hAnsi="Arial"/>
          <w:sz w:val="20"/>
          <w:szCs w:val="20"/>
        </w:rPr>
        <w:t xml:space="preserve">бумаг</w:t>
      </w:r>
    </w:p>
    <w:p>
      <w:pPr>
        <w:spacing w:after="120"/>
        <w:ind w:firstLine="567"/>
        <w:jc w:val="center"/>
      </w:pPr>
      <w:r>
        <w:rPr>
          <w:rFonts w:ascii="Arial" w:cs="Arial" w:eastAsia="Arial" w:hAnsi="Arial"/>
          <w:sz w:val="20"/>
          <w:szCs w:val="20"/>
        </w:rPr>
        <w:t xml:space="preserve">Популяризация рынка ценных бумаг</w:t>
      </w:r>
    </w:p>
    <w:p>
      <w:pPr>
        <w:spacing w:after="120"/>
        <w:ind w:firstLine="567"/>
        <w:jc w:val="center"/>
      </w:pPr>
      <w:r>
        <w:rPr>
          <w:rFonts w:ascii="Arial" w:cs="Arial" w:eastAsia="Arial" w:hAnsi="Arial"/>
          <w:sz w:val="20"/>
          <w:szCs w:val="20"/>
        </w:rPr>
        <w:t xml:space="preserve">Создание условий для привлечения средств</w:t>
      </w:r>
    </w:p>
    <w:p>
      <w:pPr>
        <w:spacing w:after="120"/>
        <w:ind w:firstLine="567"/>
        <w:jc w:val="center"/>
      </w:pPr>
      <w:r>
        <w:rPr>
          <w:rFonts w:ascii="Arial" w:cs="Arial" w:eastAsia="Arial" w:hAnsi="Arial"/>
          <w:sz w:val="20"/>
          <w:szCs w:val="20"/>
        </w:rPr>
        <w:t xml:space="preserve">институциональных инвесторов на рынок ценных бумаг</w:t>
      </w:r>
    </w:p>
    <w:p>
      <w:pPr>
        <w:spacing w:after="120"/>
        <w:ind w:firstLine="567"/>
        <w:jc w:val="center"/>
      </w:pPr>
      <w:r>
        <w:rPr>
          <w:rFonts w:ascii="Arial" w:cs="Arial" w:eastAsia="Arial" w:hAnsi="Arial"/>
          <w:sz w:val="20"/>
          <w:szCs w:val="20"/>
        </w:rPr>
        <w:t xml:space="preserve">Развитие потенциала Государственной комиссии</w:t>
      </w:r>
    </w:p>
    <w:p>
      <w:pPr>
        <w:spacing w:after="120"/>
        <w:ind w:firstLine="567"/>
        <w:jc w:val="center"/>
      </w:pPr>
      <w:r>
        <w:rPr>
          <w:rFonts w:ascii="Arial" w:cs="Arial" w:eastAsia="Arial" w:hAnsi="Arial"/>
          <w:sz w:val="20"/>
          <w:szCs w:val="20"/>
        </w:rPr>
        <w:t xml:space="preserve">при Правительстве Кыргызской Республики по рынку</w:t>
      </w:r>
    </w:p>
    <w:p>
      <w:pPr>
        <w:spacing w:after="120"/>
        <w:ind w:firstLine="567"/>
        <w:jc w:val="center"/>
      </w:pPr>
      <w:r>
        <w:rPr>
          <w:rFonts w:ascii="Arial" w:cs="Arial" w:eastAsia="Arial" w:hAnsi="Arial"/>
          <w:sz w:val="20"/>
          <w:szCs w:val="20"/>
        </w:rPr>
        <w:t xml:space="preserve">ценных бумаг</w:t>
      </w:r>
    </w:p>
    <w:p>
      <w:pPr>
        <w:spacing w:after="120"/>
        <w:ind w:firstLine="567"/>
        <w:jc w:val="center"/>
      </w:pPr>
      <w:r>
        <w:rPr>
          <w:rFonts w:ascii="Arial" w:cs="Arial" w:eastAsia="Arial" w:hAnsi="Arial"/>
          <w:sz w:val="20"/>
          <w:szCs w:val="20"/>
        </w:rPr>
        <w:t xml:space="preserve">Интеграция кыргызского фондового рынка с рынками</w:t>
      </w:r>
    </w:p>
    <w:p>
      <w:pPr>
        <w:spacing w:after="120"/>
        <w:ind w:firstLine="567"/>
        <w:jc w:val="center"/>
      </w:pPr>
      <w:r>
        <w:rPr>
          <w:rFonts w:ascii="Arial" w:cs="Arial" w:eastAsia="Arial" w:hAnsi="Arial"/>
          <w:sz w:val="20"/>
          <w:szCs w:val="20"/>
        </w:rPr>
        <w:t xml:space="preserve">государств Центральной Азии</w:t>
      </w:r>
    </w:p>
    <w:p>
      <w:pPr>
        <w:spacing w:after="120"/>
        <w:ind w:firstLine="567"/>
        <w:jc w:val="both"/>
      </w:pPr>
      <w:r>
        <w:rPr>
          <w:rFonts w:ascii="Arial" w:cs="Arial" w:eastAsia="Arial" w:hAnsi="Arial"/>
          <w:sz w:val="20"/>
          <w:szCs w:val="20"/>
        </w:rPr>
        <w:t xml:space="preserve">5. Финансирование Программы</w:t>
      </w:r>
    </w:p>
    <w:p>
      <w:pPr>
        <w:spacing w:after="120"/>
        <w:ind w:firstLine="567"/>
        <w:jc w:val="both"/>
      </w:pPr>
      <w:r>
        <w:rPr>
          <w:rFonts w:ascii="Arial" w:cs="Arial" w:eastAsia="Arial" w:hAnsi="Arial"/>
          <w:sz w:val="20"/>
          <w:szCs w:val="20"/>
        </w:rPr>
        <w:t xml:space="preserve">6. Матрица действий</w:t>
      </w:r>
    </w:p>
    <w:p>
      <w:pPr>
        <w:spacing w:after="120"/>
        <w:ind w:firstLine="567"/>
        <w:jc w:val="both"/>
      </w:pPr>
      <w:r>
        <w:rPr>
          <w:rFonts w:ascii="Arial" w:cs="Arial" w:eastAsia="Arial" w:hAnsi="Arial"/>
          <w:sz w:val="20"/>
          <w:szCs w:val="20"/>
        </w:rPr>
        <w:t xml:space="preserve">Приложение. Матрица действий по реализации Комплексной программы</w:t>
      </w:r>
    </w:p>
    <w:p>
      <w:pPr>
        <w:spacing w:after="120"/>
        <w:ind w:firstLine="567"/>
        <w:jc w:val="center"/>
      </w:pPr>
      <w:r>
        <w:rPr>
          <w:rFonts w:ascii="Arial" w:cs="Arial" w:eastAsia="Arial" w:hAnsi="Arial"/>
          <w:sz w:val="20"/>
          <w:szCs w:val="20"/>
        </w:rPr>
        <w:t xml:space="preserve">развития рынка ценных бумаг в Кыргызской Республике</w:t>
      </w:r>
    </w:p>
    <w:p>
      <w:pPr>
        <w:spacing w:after="120"/>
        <w:ind w:firstLine="567"/>
        <w:jc w:val="center"/>
      </w:pPr>
      <w:r>
        <w:rPr>
          <w:rFonts w:ascii="Arial" w:cs="Arial" w:eastAsia="Arial" w:hAnsi="Arial"/>
          <w:sz w:val="20"/>
          <w:szCs w:val="20"/>
        </w:rPr>
        <w:t xml:space="preserve">на 2004-2006 годы</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1. Введение</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Комплексная программа развития рынка ценных бумаг в Кыргызской Республике на 2004-2006 годы (далее - Программа) сформирована исходя из принципа преемственности с Комплексной программой развития рынка ценных бумаг в Кыргызской Республике на 2002-2003 годы, которая определяла приоритетные задачи и мероприятия по улучшению деятельности на рынке ценных бумаг и созданию благоприятного климата перетока свободных финансовых ресурсов в реальный сектор экономики посредством активного использования свободного обращения эмиссионных ценных бумаг. В результате выполнения Комплексной программы развития рынка ценных бумаг в Кыргызской Республике на 2002-2003 годы Государственной комиссией при Правительстве Кыргызской Республики по рынку ценных бумаг (далее - Госкомценбумаг) было подготовлено 33 проекта нормативных правовых актов, в том числе 3 постановления и 1 распоряжение Правительства Кыргызской Республики, 29 постановлений и приказов Госкомценбумаг.</w:t>
      </w:r>
    </w:p>
    <w:p>
      <w:pPr>
        <w:spacing w:after="120"/>
        <w:ind w:firstLine="567"/>
        <w:jc w:val="both"/>
      </w:pPr>
      <w:r>
        <w:rPr>
          <w:rFonts w:ascii="Arial" w:cs="Arial" w:eastAsia="Arial" w:hAnsi="Arial"/>
          <w:sz w:val="20"/>
          <w:szCs w:val="20"/>
        </w:rPr>
        <w:t xml:space="preserve">Решение задач, поставленных в Комплексной программе развития рынка ценных бумаг в Кыргызской Республике на 2002-2003 годы, позволило достичь определенных результатов в совершенствовании корпоративного управления, обеспечении прозрачности на рынке ценных бумаг, улучшении регулирования эмиссии ценных бумаг, развитии фондовой инфраструктуры и финансовых инструментов рынка. Также была проведена определенная работа по совершенствованию условий инвестирования и защиты прав инвесторов, приняты меры по укреплению и расширению международного сотрудничества по вопросам развития фондового рынка.</w:t>
      </w:r>
    </w:p>
    <w:p>
      <w:pPr>
        <w:spacing w:after="120"/>
        <w:ind w:firstLine="567"/>
        <w:jc w:val="both"/>
      </w:pPr>
      <w:r>
        <w:rPr>
          <w:rFonts w:ascii="Arial" w:cs="Arial" w:eastAsia="Arial" w:hAnsi="Arial"/>
          <w:sz w:val="20"/>
          <w:szCs w:val="20"/>
        </w:rPr>
        <w:t xml:space="preserve">Настоящая Программа отражает основные цели и задачи активизации дальнейшего развития рынка ценных бумаг и государственной политики по отношению ко всем участникам фондового рынка - эмитентам, профессиональным участникам рынка ценных бумаг, инвесторам.</w:t>
      </w:r>
    </w:p>
    <w:p>
      <w:pPr>
        <w:spacing w:after="120"/>
        <w:ind w:firstLine="567"/>
        <w:jc w:val="both"/>
      </w:pPr>
      <w:r>
        <w:rPr>
          <w:rFonts w:ascii="Arial" w:cs="Arial" w:eastAsia="Arial" w:hAnsi="Arial"/>
          <w:sz w:val="20"/>
          <w:szCs w:val="20"/>
        </w:rPr>
        <w:t xml:space="preserve">Программа не охватывает вопросы регулирования деятельности коммерческих банков и финансово-кредитных учреждений, регулируемых Национальным банком Кыргызской Республики.</w:t>
      </w:r>
    </w:p>
    <w:p>
      <w:pPr>
        <w:spacing w:after="120"/>
        <w:ind w:firstLine="567"/>
        <w:jc w:val="both"/>
      </w:pPr>
      <w:r>
        <w:rPr>
          <w:rFonts w:ascii="Arial" w:cs="Arial" w:eastAsia="Arial" w:hAnsi="Arial"/>
          <w:sz w:val="20"/>
          <w:szCs w:val="20"/>
        </w:rPr>
        <w:t xml:space="preserve">Программа определяет приоритетные направления, пути достижения целей и конкретные мероприятия по реализации поставленных задач.</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2. Обзор текущего состояния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Финансовые инструменты рынка ценных бумаг Кыргызской Республики представлены государственными и корпоративными ценными бумагами. На сегодняшний день на внутреннем рынке республики существуют пять видов государственных ценных бумаг. Корпоративные ценные бумаги представлены акциями и облигациями.</w:t>
      </w:r>
    </w:p>
    <w:p>
      <w:pPr>
        <w:spacing w:after="120"/>
        <w:ind w:firstLine="567"/>
        <w:jc w:val="both"/>
      </w:pPr>
      <w:r>
        <w:rPr>
          <w:rFonts w:ascii="Arial" w:cs="Arial" w:eastAsia="Arial" w:hAnsi="Arial"/>
          <w:sz w:val="20"/>
          <w:szCs w:val="20"/>
        </w:rPr>
        <w:t xml:space="preserve">По состоянию на 1 января 2004 года Госкомценбумаг было зарегистрировано 2007 выпусков акций акционерных обществ Кыргызской Республики на сумму 30395,5 млн.сомов.</w:t>
      </w:r>
    </w:p>
    <w:p>
      <w:pPr>
        <w:spacing w:after="120"/>
        <w:ind w:firstLine="567"/>
        <w:jc w:val="both"/>
      </w:pPr>
      <w:r>
        <w:rPr>
          <w:rFonts w:ascii="Arial" w:cs="Arial" w:eastAsia="Arial" w:hAnsi="Arial"/>
          <w:sz w:val="20"/>
          <w:szCs w:val="20"/>
        </w:rPr>
        <w:t xml:space="preserve">Продолжает развиваться рынок корпоративных облигаций. В настоящее время в республике девять отечественных компаний являются эмитентами корпоративных облигаций. По состоянию на 1 января 2004 года Госкомценбумаг было зарегистрировано 13 выпусков облигаций на сумму 260,5 млн.сом. Имеют место факты неполного размещения выпусков облигаций или весьма продолжительных сроков размещения. На 1 января 2004 года эмитентами было размещено облигаций на сумму 128 млн.сомов, погашено облигаций на сумму 49 млн.сомов. Одной из причин этого является слабое развитие институциональных инвесторов в Кыргызской Республике, которые обычно оперируют значительными долгосрочными финансовыми ресурсами. В настоящее время в обращении находится облигаций на сумму 79 млн.сомов, что составляет 0,2 процента от суммы депозитов в коммерческих банках и 1,4 процента от суммы кредитов коммерческих банков. Корпоративные облигации должны стать альтернативным источником заемных средств для компаний.</w:t>
      </w:r>
    </w:p>
    <w:p>
      <w:pPr>
        <w:spacing w:after="120"/>
        <w:ind w:firstLine="567"/>
        <w:jc w:val="both"/>
      </w:pPr>
      <w:r>
        <w:rPr>
          <w:rFonts w:ascii="Arial" w:cs="Arial" w:eastAsia="Arial" w:hAnsi="Arial"/>
          <w:sz w:val="20"/>
          <w:szCs w:val="20"/>
        </w:rPr>
        <w:t xml:space="preserve">Проблема, сложившаяся в компании "Renton Group", эмитировавшей корпоративные облигации, обозначила необходимость дополнительной защиты неквалифицированных мелких инвесторов.</w:t>
      </w:r>
    </w:p>
    <w:p>
      <w:pPr>
        <w:spacing w:after="120"/>
        <w:ind w:firstLine="567"/>
        <w:jc w:val="both"/>
      </w:pPr>
      <w:r>
        <w:rPr>
          <w:rFonts w:ascii="Arial" w:cs="Arial" w:eastAsia="Arial" w:hAnsi="Arial"/>
          <w:sz w:val="20"/>
          <w:szCs w:val="20"/>
        </w:rPr>
        <w:t xml:space="preserve">До настоящего времени не удалось привлечь на фондовый рынок республики государственные ценные бумаги. Объем государственных казначейских векселей (далее - ГКВ), размещенных на первичном рынке в 2003 году, составил 902 млн.сомов. Перевод обращения государственных ценных бумаг, хотя бы частично, на организованный фондовый рынок стал бы серьезным импульсом для его развития.</w:t>
      </w:r>
    </w:p>
    <w:p>
      <w:pPr>
        <w:spacing w:after="120"/>
        <w:ind w:firstLine="567"/>
        <w:jc w:val="both"/>
      </w:pPr>
      <w:r>
        <w:rPr>
          <w:rFonts w:ascii="Arial" w:cs="Arial" w:eastAsia="Arial" w:hAnsi="Arial"/>
          <w:sz w:val="20"/>
          <w:szCs w:val="20"/>
        </w:rPr>
        <w:t xml:space="preserve">По состоянию на 31 декабря 2003 года общий объем иностранных инвестиций в корпоративные ценные бумаги эмитентов Кыргызской Республики составил 3818 млн.сомов, в том числе из стран-участниц Содружества Независимых Государств (далее - СНГ) - 189,9 млн.сомов, из стран дальнего зарубежья - 3628 млн.сомов.</w:t>
      </w:r>
    </w:p>
    <w:p>
      <w:pPr>
        <w:spacing w:after="120"/>
        <w:ind w:firstLine="567"/>
        <w:jc w:val="both"/>
      </w:pPr>
      <w:r>
        <w:rPr>
          <w:rFonts w:ascii="Arial" w:cs="Arial" w:eastAsia="Arial" w:hAnsi="Arial"/>
          <w:sz w:val="20"/>
          <w:szCs w:val="20"/>
        </w:rPr>
        <w:t xml:space="preserve">Наиболее привлекательными сферами вложения капитала для иностранных инвесторов являются промышленность республики (62,5% от всего объема иностранных инвестиций в ценные бумаги акционерных обществ республики), финансовые институты (20,8%), строительство (8,28%), транспорт и связь (3,08%).</w:t>
      </w:r>
    </w:p>
    <w:p>
      <w:pPr>
        <w:spacing w:after="120"/>
        <w:ind w:firstLine="567"/>
        <w:jc w:val="both"/>
      </w:pPr>
      <w:r>
        <w:rPr>
          <w:rFonts w:ascii="Arial" w:cs="Arial" w:eastAsia="Arial" w:hAnsi="Arial"/>
          <w:sz w:val="20"/>
          <w:szCs w:val="20"/>
        </w:rPr>
        <w:t xml:space="preserve">Необходимо отметить активизацию в последние два года казахстанских инвесторов на рынке ценных бумаг Кыргызской Республики. Наблюдается приток казахстанских инвестиций в банковский сектор. В дальнейшем, в связи с насыщенностью казахстанского рынка финансовыми ресурсами, также следует ожидать повышения активности казахстанских инвесторов на фондовом рынке нашей республики.</w:t>
      </w:r>
    </w:p>
    <w:p>
      <w:pPr>
        <w:spacing w:after="120"/>
        <w:ind w:firstLine="567"/>
        <w:jc w:val="both"/>
      </w:pPr>
      <w:r>
        <w:rPr>
          <w:rFonts w:ascii="Arial" w:cs="Arial" w:eastAsia="Arial" w:hAnsi="Arial"/>
          <w:sz w:val="20"/>
          <w:szCs w:val="20"/>
        </w:rPr>
        <w:t xml:space="preserve">Объем эмиссии ценных бумаг за 2003 год составил 7,1 млрд.сомов, что составляет 8,5 процента к валовому внутреннему продукту Кыргызской Республики.</w:t>
      </w:r>
    </w:p>
    <w:p>
      <w:pPr>
        <w:spacing w:after="120"/>
        <w:ind w:firstLine="567"/>
        <w:jc w:val="both"/>
      </w:pPr>
      <w:r>
        <w:rPr>
          <w:rFonts w:ascii="Arial" w:cs="Arial" w:eastAsia="Arial" w:hAnsi="Arial"/>
          <w:sz w:val="20"/>
          <w:szCs w:val="20"/>
        </w:rPr>
        <w:t xml:space="preserve">Объем торгов через торговую систему организаторов торговли на рынке ценных бумаг республики составил 955,4 млн.сомов, из которых торги по облигациям совершены на сумму 29,49 млн.сомов, по привилегированным акциям - 0,24 млн.сомов, по простым акциям - 925,67 млн.сомов. В основном на рынке ценных бумаг совершаются регистрационные (прямые) сделки.</w:t>
      </w:r>
    </w:p>
    <w:p>
      <w:pPr>
        <w:spacing w:after="120"/>
        <w:ind w:firstLine="567"/>
        <w:jc w:val="both"/>
      </w:pPr>
      <w:r>
        <w:rPr>
          <w:rFonts w:ascii="Arial" w:cs="Arial" w:eastAsia="Arial" w:hAnsi="Arial"/>
          <w:sz w:val="20"/>
          <w:szCs w:val="20"/>
        </w:rPr>
        <w:t xml:space="preserve">В 2003 году в республике было зарегистрировано 18 листинговых компаний, ценные бумаги которых вошли в котировальный список фондовой биржи. В наивысшую категорию листинга вошли ценные бумаги только одной компании - АО "Кыргызтелеком". Однако следует отметить, в настоящее время сложилась такая ситуация, при которой подавляющее большинство листинговых ценных бумаг являются неликвидными и практически не торгуются, в то же время высоколиквидные ценные бумаги многих передовых эмитентов республики, стабильно выплачивающих дивиденды, имеющих высокую культуру корпоративного управления и транспарентности информации, не входят в котировальные листы ЗАО "Кыргызская фондовая биржа".</w:t>
      </w:r>
    </w:p>
    <w:p>
      <w:pPr>
        <w:spacing w:after="120"/>
        <w:ind w:firstLine="567"/>
        <w:jc w:val="both"/>
      </w:pPr>
      <w:r>
        <w:rPr>
          <w:rFonts w:ascii="Arial" w:cs="Arial" w:eastAsia="Arial" w:hAnsi="Arial"/>
          <w:sz w:val="20"/>
          <w:szCs w:val="20"/>
        </w:rPr>
        <w:t xml:space="preserve">Развитие инвестиционных фондов в республике является долгосрочной задачей фондового рынка, поскольку определяется наличием многообразия финансовых инструментов и повышением доверия частных инвесторов к финансовому рынку. В данном направлении ведется работа по совершенствованию законодательства, усилению надзора за их деятельностью. Госкомценбумаг были отозваны лицензии у четырех проблемных инвестиционных фондов и одной управляющей компании.</w:t>
      </w:r>
    </w:p>
    <w:p>
      <w:pPr>
        <w:spacing w:after="120"/>
        <w:ind w:firstLine="567"/>
        <w:jc w:val="both"/>
      </w:pPr>
      <w:r>
        <w:rPr>
          <w:rFonts w:ascii="Arial" w:cs="Arial" w:eastAsia="Arial" w:hAnsi="Arial"/>
          <w:sz w:val="20"/>
          <w:szCs w:val="20"/>
        </w:rPr>
        <w:t xml:space="preserve">Следует использовать наработанный в этой сфере опыт для развития управляющих активами пенсионных фондов и других институциональных инвесторов.</w:t>
      </w:r>
    </w:p>
    <w:p>
      <w:pPr>
        <w:spacing w:after="120"/>
        <w:ind w:firstLine="567"/>
        <w:jc w:val="both"/>
      </w:pPr>
      <w:r>
        <w:rPr>
          <w:rFonts w:ascii="Arial" w:cs="Arial" w:eastAsia="Arial" w:hAnsi="Arial"/>
          <w:sz w:val="20"/>
          <w:szCs w:val="20"/>
        </w:rPr>
        <w:t xml:space="preserve">Важным направлением деятельности Госкомценбумаг является осуществление надзора и контроля за деятельностью профессиональных участников рынка ценных бумаг и эмитентов ценных бумаг. В 2003 году Госкомценбумаг осуществила 265 проверок акционерных обществ и профессиональных участников рынка ценных бумаг на соответствие законодательству Кыргызской Республики по рынку ценных бумаг. В результате проведенных проверок установлено 636 нарушений законодательства Кыргызской Республики по ценным бумагам, которые привели к ущемлению прав акционеров и различным негативным явлениям на сумму 18,2 млн.сомов, в том числе 34 нарушения по выплате дивидендов на сумму 9,7 млн.сомов. В ходе работы по устранению нарушений акционерам восстановлены дивиденды на общую сумму 4,0 млн.сомов, в том числе дивиденды, причитающиеся на государственную долю акций, в сумме 734,2 тыс.сомов.</w:t>
      </w:r>
    </w:p>
    <w:p>
      <w:pPr>
        <w:spacing w:after="120"/>
        <w:ind w:firstLine="567"/>
        <w:jc w:val="both"/>
      </w:pPr>
      <w:r>
        <w:rPr>
          <w:rFonts w:ascii="Arial" w:cs="Arial" w:eastAsia="Arial" w:hAnsi="Arial"/>
          <w:sz w:val="20"/>
          <w:szCs w:val="20"/>
        </w:rPr>
        <w:t xml:space="preserve">В 2003 году Госкомценбумаг продолжила работу по расширению и укреплению международного сотрудничества. Значимым событием в этом направлении стало проведение 5-6 сентября 2003 года в Кыргызской Республике 2-го заседания Совета руководителей уполномоченных органов по регулированию рынка ценных бумаг государств-членов ЕврАзЭС. По итогам заседания были приняты решения, которые будут способствовать осуществлению интеграции фондовых рынков стран ЕврАзЭС.</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3. Основные цели развития рынка ценных</w:t>
      </w:r>
    </w:p>
    <w:p>
      <w:pPr>
        <w:spacing w:after="120"/>
        <w:ind w:firstLine="567"/>
        <w:jc w:val="center"/>
      </w:pPr>
      <w:r>
        <w:rPr>
          <w:rFonts w:ascii="Arial" w:cs="Arial" w:eastAsia="Arial" w:hAnsi="Arial"/>
          <w:sz w:val="20"/>
          <w:szCs w:val="20"/>
        </w:rPr>
        <w:t xml:space="preserve">бумаг и задачи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Целью формирования политики дальнейшего развития рынка ценных бумаг является активизация развития и укрепление рынка. Эта стратегическая цель предполагает:</w:t>
      </w:r>
    </w:p>
    <w:p>
      <w:pPr>
        <w:spacing w:after="120"/>
        <w:ind w:firstLine="567"/>
        <w:jc w:val="both"/>
      </w:pPr>
      <w:r>
        <w:rPr>
          <w:rFonts w:ascii="Arial" w:cs="Arial" w:eastAsia="Arial" w:hAnsi="Arial"/>
          <w:sz w:val="20"/>
          <w:szCs w:val="20"/>
        </w:rPr>
        <w:t xml:space="preserve">- усиление значимости рынка ценных бумаг в финансировании экономики республики;</w:t>
      </w:r>
    </w:p>
    <w:p>
      <w:pPr>
        <w:spacing w:after="120"/>
        <w:ind w:firstLine="567"/>
        <w:jc w:val="both"/>
      </w:pPr>
      <w:r>
        <w:rPr>
          <w:rFonts w:ascii="Arial" w:cs="Arial" w:eastAsia="Arial" w:hAnsi="Arial"/>
          <w:sz w:val="20"/>
          <w:szCs w:val="20"/>
        </w:rPr>
        <w:t xml:space="preserve">- усиление роли кыргызского рынка ценных бумаг на Центрально-Азиатском финансовом рынке.</w:t>
      </w:r>
    </w:p>
    <w:p>
      <w:pPr>
        <w:spacing w:after="120"/>
        <w:ind w:firstLine="567"/>
        <w:jc w:val="both"/>
      </w:pPr>
      <w:r>
        <w:rPr>
          <w:rFonts w:ascii="Arial" w:cs="Arial" w:eastAsia="Arial" w:hAnsi="Arial"/>
          <w:sz w:val="20"/>
          <w:szCs w:val="20"/>
        </w:rPr>
        <w:t xml:space="preserve">Укрепление финансовой системы в настоящее время является одной из важных задач для государства. Для устойчивого экономического роста требуется мобилизация необходимых финансовых ресурсов. В этом направлении рынок ценных бумаг должен стать альтернативой банковской системы. В современной экономике рынок ценных бумаг является одним из основных механизмов аккумулирования и перераспределения инвестиционного капитала. Обслуживая принципиальную для экономического роста связку "сбережения-инвестиции" и перелив финансовых ресурсов между секторами экономики, рынок ценных бумаг должен стать одним из ключевых механизмов в рамках национальной модели экономического роста государства. Значимость рынка ценных бумаг должна стать равной значению банковского сектора в привлечении и перераспределении финансовых ресурсов. Все предпринимаемые усилия должны быть направлены на увеличение доверия инвесторов к рынку ценных бумаг.</w:t>
      </w:r>
    </w:p>
    <w:p>
      <w:pPr>
        <w:spacing w:after="120"/>
        <w:ind w:firstLine="567"/>
        <w:jc w:val="both"/>
      </w:pPr>
      <w:r>
        <w:rPr>
          <w:rFonts w:ascii="Arial" w:cs="Arial" w:eastAsia="Arial" w:hAnsi="Arial"/>
          <w:sz w:val="20"/>
          <w:szCs w:val="20"/>
        </w:rPr>
        <w:t xml:space="preserve">Рынок ценных бумаг республики имеет достаточно развитый характер создана адекватная законодательная база функционирования рынка ценных бумаг, которая охватывает практически все вопросы, регулирующие фондовый рынок, сформирована и продолжает развиваться инфраструктура рынка, но при этом рынок характеризуется малым объемом и ограниченным числом финансовых инструментов. Важным шагом для дальнейшего развития кыргызского фондового рынка будет его интеграция с другими рынками региона, и прежде всего - стран Центральной Азии (Таджикистан, Туркменистан, Узбекистан, Казахстан). Фондовые рынки стран Центральной Азии в настоящее время находятся на разных этапах развития - у одних достаточно развитый рынок с большим резервом средств для инвестирования, у других - инфраструктура на стадии формирования. Интеграция фондовых рынков указанных государств позволит активизировать их развитие, в результате чего для кыргызского рынка ценных бумаг появится возможность привлечения инвестиций посредством увеличения числа инвесторов, с одной стороны, и с другой стороны, оказания услуг на рынках других стран.</w:t>
      </w:r>
    </w:p>
    <w:p>
      <w:pPr>
        <w:spacing w:after="120"/>
        <w:ind w:firstLine="567"/>
        <w:jc w:val="both"/>
      </w:pPr>
      <w:r>
        <w:rPr>
          <w:rFonts w:ascii="Arial" w:cs="Arial" w:eastAsia="Arial" w:hAnsi="Arial"/>
          <w:sz w:val="20"/>
          <w:szCs w:val="20"/>
        </w:rPr>
        <w:t xml:space="preserve">Интеграция должна проходить по двум направлениям:</w:t>
      </w:r>
    </w:p>
    <w:p>
      <w:pPr>
        <w:spacing w:after="120"/>
        <w:ind w:firstLine="567"/>
        <w:jc w:val="both"/>
      </w:pPr>
      <w:r>
        <w:rPr>
          <w:rFonts w:ascii="Arial" w:cs="Arial" w:eastAsia="Arial" w:hAnsi="Arial"/>
          <w:sz w:val="20"/>
          <w:szCs w:val="20"/>
        </w:rPr>
        <w:t xml:space="preserve">- снятие барьеров для выхода эмитентов, профессиональных участников и других участников кыргызского рынка ценных бумаг на фондовые рынки государств Центральной Азии;</w:t>
      </w:r>
    </w:p>
    <w:p>
      <w:pPr>
        <w:spacing w:after="120"/>
        <w:ind w:firstLine="567"/>
        <w:jc w:val="both"/>
      </w:pPr>
      <w:r>
        <w:rPr>
          <w:rFonts w:ascii="Arial" w:cs="Arial" w:eastAsia="Arial" w:hAnsi="Arial"/>
          <w:sz w:val="20"/>
          <w:szCs w:val="20"/>
        </w:rPr>
        <w:t xml:space="preserve">- обеспечение повышения привлекательности кыргызского рынка для иностранных инвесторов путем повышения качества обслуживания инвесторов, совершенствования деятельности и снижения рисков операторов рынка ценных бумаг.</w:t>
      </w:r>
    </w:p>
    <w:p>
      <w:pPr>
        <w:spacing w:after="120"/>
        <w:ind w:firstLine="567"/>
        <w:jc w:val="both"/>
      </w:pPr>
      <w:r>
        <w:rPr>
          <w:rFonts w:ascii="Arial" w:cs="Arial" w:eastAsia="Arial" w:hAnsi="Arial"/>
          <w:sz w:val="20"/>
          <w:szCs w:val="20"/>
        </w:rPr>
        <w:t xml:space="preserve">Для достижения поставленных целей политики дальнейшего развития рынка ценных бумаг настоящая Программа предусматривает необходимость решения следующих основных задач.</w:t>
      </w:r>
    </w:p>
    <w:p>
      <w:pPr>
        <w:spacing w:after="120"/>
        <w:ind w:firstLine="567"/>
        <w:jc w:val="both"/>
      </w:pPr>
      <w:r>
        <w:rPr>
          <w:rFonts w:ascii="Arial" w:cs="Arial" w:eastAsia="Arial" w:hAnsi="Arial"/>
          <w:sz w:val="20"/>
          <w:szCs w:val="20"/>
        </w:rPr>
        <w:t xml:space="preserve">1. Обеспечение транспарентности рынка ценных бумаг.</w:t>
      </w:r>
    </w:p>
    <w:p>
      <w:pPr>
        <w:spacing w:after="120"/>
        <w:ind w:firstLine="567"/>
        <w:jc w:val="both"/>
      </w:pPr>
      <w:r>
        <w:rPr>
          <w:rFonts w:ascii="Arial" w:cs="Arial" w:eastAsia="Arial" w:hAnsi="Arial"/>
          <w:sz w:val="20"/>
          <w:szCs w:val="20"/>
        </w:rPr>
        <w:t xml:space="preserve">2. Разграничение регулирования публичных и непубличных эмитентов ценных бумаг.</w:t>
      </w:r>
    </w:p>
    <w:p>
      <w:pPr>
        <w:spacing w:after="120"/>
        <w:ind w:firstLine="567"/>
        <w:jc w:val="both"/>
      </w:pPr>
      <w:r>
        <w:rPr>
          <w:rFonts w:ascii="Arial" w:cs="Arial" w:eastAsia="Arial" w:hAnsi="Arial"/>
          <w:sz w:val="20"/>
          <w:szCs w:val="20"/>
        </w:rPr>
        <w:t xml:space="preserve">3. Создание на рынке ценных бумаг сегмента, представленного высококачественными финансовыми инструментами рынка ценных бумаг.</w:t>
      </w:r>
    </w:p>
    <w:p>
      <w:pPr>
        <w:spacing w:after="120"/>
        <w:ind w:firstLine="567"/>
        <w:jc w:val="both"/>
      </w:pPr>
      <w:r>
        <w:rPr>
          <w:rFonts w:ascii="Arial" w:cs="Arial" w:eastAsia="Arial" w:hAnsi="Arial"/>
          <w:sz w:val="20"/>
          <w:szCs w:val="20"/>
        </w:rPr>
        <w:t xml:space="preserve">4. Обеспечение надежности системы регистрации прав на ценные бумаги.</w:t>
      </w:r>
    </w:p>
    <w:p>
      <w:pPr>
        <w:spacing w:after="120"/>
        <w:ind w:firstLine="567"/>
        <w:jc w:val="both"/>
      </w:pPr>
      <w:r>
        <w:rPr>
          <w:rFonts w:ascii="Arial" w:cs="Arial" w:eastAsia="Arial" w:hAnsi="Arial"/>
          <w:sz w:val="20"/>
          <w:szCs w:val="20"/>
        </w:rPr>
        <w:t xml:space="preserve">5. Установление единых стандартов обращения ценных бумаг.</w:t>
      </w:r>
    </w:p>
    <w:p>
      <w:pPr>
        <w:spacing w:after="120"/>
        <w:ind w:firstLine="567"/>
        <w:jc w:val="both"/>
      </w:pPr>
      <w:r>
        <w:rPr>
          <w:rFonts w:ascii="Arial" w:cs="Arial" w:eastAsia="Arial" w:hAnsi="Arial"/>
          <w:sz w:val="20"/>
          <w:szCs w:val="20"/>
        </w:rPr>
        <w:t xml:space="preserve">6. Расширение круга финансовых инструментов рынка ценных бумаг.</w:t>
      </w:r>
    </w:p>
    <w:p>
      <w:pPr>
        <w:spacing w:after="120"/>
        <w:ind w:firstLine="567"/>
        <w:jc w:val="both"/>
      </w:pPr>
      <w:r>
        <w:rPr>
          <w:rFonts w:ascii="Arial" w:cs="Arial" w:eastAsia="Arial" w:hAnsi="Arial"/>
          <w:sz w:val="20"/>
          <w:szCs w:val="20"/>
        </w:rPr>
        <w:t xml:space="preserve">7. Популяризация рынка ценных бумаг.</w:t>
      </w:r>
    </w:p>
    <w:p>
      <w:pPr>
        <w:spacing w:after="120"/>
        <w:ind w:firstLine="567"/>
        <w:jc w:val="both"/>
      </w:pPr>
      <w:r>
        <w:rPr>
          <w:rFonts w:ascii="Arial" w:cs="Arial" w:eastAsia="Arial" w:hAnsi="Arial"/>
          <w:sz w:val="20"/>
          <w:szCs w:val="20"/>
        </w:rPr>
        <w:t xml:space="preserve">8. Создание условий для привлечения средств институциональных инвесторов на рынок ценных бумаг.</w:t>
      </w:r>
    </w:p>
    <w:p>
      <w:pPr>
        <w:spacing w:after="120"/>
        <w:ind w:firstLine="567"/>
        <w:jc w:val="both"/>
      </w:pPr>
      <w:r>
        <w:rPr>
          <w:rFonts w:ascii="Arial" w:cs="Arial" w:eastAsia="Arial" w:hAnsi="Arial"/>
          <w:sz w:val="20"/>
          <w:szCs w:val="20"/>
        </w:rPr>
        <w:t xml:space="preserve">9. Развитие потенциала Госкомценбумаг.</w:t>
      </w:r>
    </w:p>
    <w:p>
      <w:pPr>
        <w:spacing w:after="120"/>
        <w:ind w:firstLine="567"/>
        <w:jc w:val="both"/>
      </w:pPr>
      <w:r>
        <w:rPr>
          <w:rFonts w:ascii="Arial" w:cs="Arial" w:eastAsia="Arial" w:hAnsi="Arial"/>
          <w:sz w:val="20"/>
          <w:szCs w:val="20"/>
        </w:rPr>
        <w:t xml:space="preserve">10. Интеграция кыргызского рынка ценных бумаг с фондовыми рынками государств Центральной Азии.</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4. Пути достижения целей и реализации</w:t>
      </w:r>
    </w:p>
    <w:p>
      <w:pPr>
        <w:spacing w:after="120"/>
        <w:ind w:firstLine="567"/>
        <w:jc w:val="center"/>
      </w:pPr>
      <w:r>
        <w:rPr>
          <w:rFonts w:ascii="Arial" w:cs="Arial" w:eastAsia="Arial" w:hAnsi="Arial"/>
          <w:sz w:val="20"/>
          <w:szCs w:val="20"/>
        </w:rPr>
        <w:t xml:space="preserve">поставленных задач</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Обеспечение транспарентности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Транспарентность рынка ценных бумаг должна быть достигнута посредством обеспечения прозрачности функционирования участников рынка ценных бумаг и доступа к информации на рынке ценных бумаг.</w:t>
      </w:r>
    </w:p>
    <w:p>
      <w:pPr>
        <w:spacing w:after="120"/>
        <w:ind w:firstLine="567"/>
        <w:jc w:val="both"/>
      </w:pPr>
      <w:r>
        <w:rPr>
          <w:rFonts w:ascii="Arial" w:cs="Arial" w:eastAsia="Arial" w:hAnsi="Arial"/>
          <w:sz w:val="20"/>
          <w:szCs w:val="20"/>
        </w:rPr>
        <w:t xml:space="preserve">Обеспечение транспарентности рынка ценных бумаг является необходимым условием прогрессивного развития рынка, так как прозрачность деятельности на рынке ценных бумаг и доступность информации позволит снизить риски, что прежде всего повлияет на возможность принимать взвешенные инвестиционные решения и усиление доверия инвесторов к рынку.</w:t>
      </w:r>
    </w:p>
    <w:p>
      <w:pPr>
        <w:spacing w:after="120"/>
        <w:ind w:firstLine="567"/>
        <w:jc w:val="both"/>
      </w:pPr>
      <w:r>
        <w:rPr>
          <w:rFonts w:ascii="Arial" w:cs="Arial" w:eastAsia="Arial" w:hAnsi="Arial"/>
          <w:sz w:val="20"/>
          <w:szCs w:val="20"/>
        </w:rPr>
        <w:t xml:space="preserve">В настоящее время прозрачность деятельности на рынке ценных бумаг обеспечивается системой раскрытия необходимой информации участниками рынка, осуществляемой методами, установленными законодательством Кыргызской Республики, посредством обязательного опубликования сведений, представления отчетности, а также регистрации проспекта эмиссии ценных бумаг и обеспечения доступа, содержащейся в нем информации.</w:t>
      </w:r>
    </w:p>
    <w:p>
      <w:pPr>
        <w:spacing w:after="120"/>
        <w:ind w:firstLine="567"/>
        <w:jc w:val="both"/>
      </w:pPr>
      <w:r>
        <w:rPr>
          <w:rFonts w:ascii="Arial" w:cs="Arial" w:eastAsia="Arial" w:hAnsi="Arial"/>
          <w:sz w:val="20"/>
          <w:szCs w:val="20"/>
        </w:rPr>
        <w:t xml:space="preserve">Следует отметить, что сегодня раскрытие информации продолжает оставаться на низком уровне - не все эмитенты и профессиональные участники рынка ценных бумаг представляют необходимую отчетность либо представляют ее с нарушениями порядка составления и представления, информация о существенных фактах участниками рынка практически не раскрывается. Так, в связи с неоднократными нарушениями законодательства Кыргызской Республики, выразившимися в непредставлении отчетности по ценным бумагам в Госкомценбумаг за 2002 год были отозваны лицензии у шести профессиональных участников рынка ценных бумаг, приостановлены действия лицензий пяти профессиональных участников, а одному профессиональному участнику вынесено предупреждение. Также достаточно красноречиво о низком качестве раскрытия информации говорит тот факт, что за 2002 год в структуре административных штрафов, наложенных Госкомценбумаг за нарушение законодательства Кыргызской Республики по ценным бумагам, 57 процентов составляют нарушения порядка предоставления отчетности и 5 процентов - нарушения прав инвесторов на получение полной и объективной информации о ценных бумагах.</w:t>
      </w:r>
    </w:p>
    <w:p>
      <w:pPr>
        <w:spacing w:after="120"/>
        <w:ind w:firstLine="567"/>
        <w:jc w:val="both"/>
      </w:pPr>
      <w:r>
        <w:rPr>
          <w:rFonts w:ascii="Arial" w:cs="Arial" w:eastAsia="Arial" w:hAnsi="Arial"/>
          <w:sz w:val="20"/>
          <w:szCs w:val="20"/>
        </w:rPr>
        <w:t xml:space="preserve">Госкомценбумаг следует усилить контроль за соблюдением эмитентами ценных бумаг и профессиональными участниками рынка ценных бумаг законодательства Кыргызской Республики по представлению отчетности. Также Госкомценбумаг необходимо улучшить качество анализа представляемой участниками рынка отчетности. Кроме этого, по вопросу предоставления публичными эмитентами ежеквартальной отчетности эмитента по ценным бумагам в Госкомценбумаг следует разработать промежуточную финансовую отчетность в соответствии с международными стандартами финансовой отчетности.</w:t>
      </w:r>
    </w:p>
    <w:p>
      <w:pPr>
        <w:spacing w:after="120"/>
        <w:ind w:firstLine="567"/>
        <w:jc w:val="both"/>
      </w:pPr>
      <w:r>
        <w:rPr>
          <w:rFonts w:ascii="Arial" w:cs="Arial" w:eastAsia="Arial" w:hAnsi="Arial"/>
          <w:sz w:val="20"/>
          <w:szCs w:val="20"/>
        </w:rPr>
        <w:t xml:space="preserve">Необходимо также усилить требования к профессиональным участникам рынка ценных бумаг по раскрытию информации.</w:t>
      </w:r>
    </w:p>
    <w:p>
      <w:pPr>
        <w:spacing w:after="120"/>
        <w:ind w:firstLine="567"/>
        <w:jc w:val="both"/>
      </w:pPr>
      <w:r>
        <w:rPr>
          <w:rFonts w:ascii="Arial" w:cs="Arial" w:eastAsia="Arial" w:hAnsi="Arial"/>
          <w:sz w:val="20"/>
          <w:szCs w:val="20"/>
        </w:rPr>
        <w:t xml:space="preserve">В этих целях необходимо разработать программу мер, направленных на повышение стандартов раскрытия информации и информационной прозрачности рынка ценных бумаг, включающую в себя:</w:t>
      </w:r>
    </w:p>
    <w:p>
      <w:pPr>
        <w:spacing w:after="120"/>
        <w:ind w:firstLine="567"/>
        <w:jc w:val="both"/>
      </w:pPr>
      <w:r>
        <w:rPr>
          <w:rFonts w:ascii="Arial" w:cs="Arial" w:eastAsia="Arial" w:hAnsi="Arial"/>
          <w:sz w:val="20"/>
          <w:szCs w:val="20"/>
        </w:rPr>
        <w:t xml:space="preserve">- совершенствование нормативной правовой базы по вопросам раскрытия информации эмитентами и профессиональными участниками рынка ценных бумаг;</w:t>
      </w:r>
    </w:p>
    <w:p>
      <w:pPr>
        <w:spacing w:after="120"/>
        <w:ind w:firstLine="567"/>
        <w:jc w:val="both"/>
      </w:pPr>
      <w:r>
        <w:rPr>
          <w:rFonts w:ascii="Arial" w:cs="Arial" w:eastAsia="Arial" w:hAnsi="Arial"/>
          <w:sz w:val="20"/>
          <w:szCs w:val="20"/>
        </w:rPr>
        <w:t xml:space="preserve">- создание эффективной системы сбора и распространения информации, подлежащей раскрытию - центра раскрытия информации (в котором будет концентрироваться общедоступная информация об эмитентах, профессиональных участниках и иная информация о рынке ценных бумаг, доступность которой будет обеспечиваться любому заинтересованному лицу);</w:t>
      </w:r>
    </w:p>
    <w:p>
      <w:pPr>
        <w:spacing w:after="120"/>
        <w:ind w:firstLine="567"/>
        <w:jc w:val="both"/>
      </w:pPr>
      <w:r>
        <w:rPr>
          <w:rFonts w:ascii="Arial" w:cs="Arial" w:eastAsia="Arial" w:hAnsi="Arial"/>
          <w:sz w:val="20"/>
          <w:szCs w:val="20"/>
        </w:rPr>
        <w:t xml:space="preserve">- взаимодействие информационных агентств, средств массовой информации, консультационных фирм и профессиональных участников рынка ценных бумаг по вопросам продвижения подлежащей раскрытию информации на информационный рынок в целом и обеспечения ею конкретных групп инвесторов в частности;</w:t>
      </w:r>
    </w:p>
    <w:p>
      <w:pPr>
        <w:spacing w:after="120"/>
        <w:ind w:firstLine="567"/>
        <w:jc w:val="both"/>
      </w:pPr>
      <w:r>
        <w:rPr>
          <w:rFonts w:ascii="Arial" w:cs="Arial" w:eastAsia="Arial" w:hAnsi="Arial"/>
          <w:sz w:val="20"/>
          <w:szCs w:val="20"/>
        </w:rPr>
        <w:t xml:space="preserve">- обеспечение выполнения требований законодательства Кыргызской Республики по раскрытию информации.</w:t>
      </w:r>
    </w:p>
    <w:p>
      <w:pPr>
        <w:spacing w:after="120"/>
        <w:ind w:firstLine="567"/>
        <w:jc w:val="both"/>
      </w:pPr>
      <w:r>
        <w:rPr>
          <w:rFonts w:ascii="Arial" w:cs="Arial" w:eastAsia="Arial" w:hAnsi="Arial"/>
          <w:sz w:val="20"/>
          <w:szCs w:val="20"/>
        </w:rPr>
        <w:t xml:space="preserve">В связи с развитием информационных технологий необходимо рассмотреть вопросы раскрытия информации посредством сети Интернет и электронного документооборота.</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Разграничение регулирования публичных и непубличных эмитентов</w:t>
      </w:r>
    </w:p>
    <w:p>
      <w:pPr>
        <w:spacing w:after="120"/>
        <w:ind w:firstLine="567"/>
        <w:jc w:val="both"/>
      </w:pPr>
      <w:r>
        <w:rPr>
          <w:rFonts w:ascii="Arial" w:cs="Arial" w:eastAsia="Arial" w:hAnsi="Arial"/>
          <w:sz w:val="20"/>
          <w:szCs w:val="20"/>
        </w:rPr>
        <w:t xml:space="preserve">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в связи с принятием Закона Кыргызской Республики "Об акционерных обществах", Госкомценбумаг начата работа по разделению эмитентов на публичные и непубличные. На 31 декабря 2003 года в Кыргызской Республике было 1569 эмитентов, из них 50 эмитентов осуществили открытое (публичное) размещение ценных бумаг и 121 эмитент имеет 500 и более владельцев их ценных бумаг.</w:t>
      </w:r>
    </w:p>
    <w:p>
      <w:pPr>
        <w:spacing w:after="120"/>
        <w:ind w:firstLine="567"/>
        <w:jc w:val="both"/>
      </w:pPr>
      <w:r>
        <w:rPr>
          <w:rFonts w:ascii="Arial" w:cs="Arial" w:eastAsia="Arial" w:hAnsi="Arial"/>
          <w:sz w:val="20"/>
          <w:szCs w:val="20"/>
        </w:rPr>
        <w:t xml:space="preserve">Указанную работу необходимо проводить в соответствии с вышеуказанным Законом, в целях установления отдельных требований к публичным и непубличным эмитентам - в сторону усиления требований к публичным и упрощения к непубличным эмитентам. До настоящего времени требования как к публичным, так и непубличным эмитентам, предъявляются одинаковые, к примеру, все эмитенты обязаны публиковать годовую финансовую отчетность.</w:t>
      </w:r>
    </w:p>
    <w:p>
      <w:pPr>
        <w:spacing w:after="120"/>
        <w:ind w:firstLine="567"/>
        <w:jc w:val="both"/>
      </w:pPr>
      <w:r>
        <w:rPr>
          <w:rFonts w:ascii="Arial" w:cs="Arial" w:eastAsia="Arial" w:hAnsi="Arial"/>
          <w:sz w:val="20"/>
          <w:szCs w:val="20"/>
        </w:rPr>
        <w:t xml:space="preserve">Усиление требований к публичным эмитентам необходимо во избежание различных негативных последствий для инвесторов, так как публичные эмитенты привлекают денежные средства путем публичного размещения своих ценных бумаг среди неограниченного круга лиц.</w:t>
      </w:r>
    </w:p>
    <w:p>
      <w:pPr>
        <w:spacing w:after="120"/>
        <w:ind w:firstLine="567"/>
        <w:jc w:val="both"/>
      </w:pPr>
      <w:r>
        <w:rPr>
          <w:rFonts w:ascii="Arial" w:cs="Arial" w:eastAsia="Arial" w:hAnsi="Arial"/>
          <w:sz w:val="20"/>
          <w:szCs w:val="20"/>
        </w:rPr>
        <w:t xml:space="preserve">В этом направлении требования к публичным и непубличным эмитентам должны быть разграничены по вопросам:</w:t>
      </w:r>
    </w:p>
    <w:p>
      <w:pPr>
        <w:spacing w:after="120"/>
        <w:ind w:firstLine="567"/>
        <w:jc w:val="both"/>
      </w:pPr>
      <w:r>
        <w:rPr>
          <w:rFonts w:ascii="Arial" w:cs="Arial" w:eastAsia="Arial" w:hAnsi="Arial"/>
          <w:sz w:val="20"/>
          <w:szCs w:val="20"/>
        </w:rPr>
        <w:t xml:space="preserve">- эмиссии и обращения ценных бумаг эмитентов;</w:t>
      </w:r>
    </w:p>
    <w:p>
      <w:pPr>
        <w:spacing w:after="120"/>
        <w:ind w:firstLine="567"/>
        <w:jc w:val="both"/>
      </w:pPr>
      <w:r>
        <w:rPr>
          <w:rFonts w:ascii="Arial" w:cs="Arial" w:eastAsia="Arial" w:hAnsi="Arial"/>
          <w:sz w:val="20"/>
          <w:szCs w:val="20"/>
        </w:rPr>
        <w:t xml:space="preserve">- раскрытия информации;</w:t>
      </w:r>
    </w:p>
    <w:p>
      <w:pPr>
        <w:spacing w:after="120"/>
        <w:ind w:firstLine="567"/>
        <w:jc w:val="both"/>
      </w:pPr>
      <w:r>
        <w:rPr>
          <w:rFonts w:ascii="Arial" w:cs="Arial" w:eastAsia="Arial" w:hAnsi="Arial"/>
          <w:sz w:val="20"/>
          <w:szCs w:val="20"/>
        </w:rPr>
        <w:t xml:space="preserve">- надзора.</w:t>
      </w:r>
    </w:p>
    <w:p>
      <w:pPr>
        <w:spacing w:after="120"/>
        <w:ind w:firstLine="567"/>
        <w:jc w:val="both"/>
      </w:pPr>
      <w:r>
        <w:rPr>
          <w:rFonts w:ascii="Arial" w:cs="Arial" w:eastAsia="Arial" w:hAnsi="Arial"/>
          <w:sz w:val="20"/>
          <w:szCs w:val="20"/>
        </w:rPr>
        <w:t xml:space="preserve">Необходимо разграничить стандарты эмиссии ценных бумаг публичных и непубличных эмитентов, предусматривающие соответственно высокие требования к проспекту эмиссии ценных бумаг публичных эмитентов, и отменой требования по регистрации проспекта эмиссии ценных бумаг непубличных эмитентов. В отношении обращения ценных бумаг непубличных эмитентов необходимо разрешить их обращение вне торговых площадок организаторов торговли на рынке ценных бумаг.</w:t>
      </w:r>
    </w:p>
    <w:p>
      <w:pPr>
        <w:spacing w:after="120"/>
        <w:ind w:firstLine="567"/>
        <w:jc w:val="both"/>
      </w:pPr>
      <w:r>
        <w:rPr>
          <w:rFonts w:ascii="Arial" w:cs="Arial" w:eastAsia="Arial" w:hAnsi="Arial"/>
          <w:sz w:val="20"/>
          <w:szCs w:val="20"/>
        </w:rPr>
        <w:t xml:space="preserve">Также необходимо проработать вопрос об установлении требований к публичным эмитентам по раскрытию необходимой информации. Необходимо установить требование, предусматривающее наличие соответствующей службы или лица у эмитента, ответственного за раскрытие информации о его деятельности. Для непубличных компаний в этом направлении будет проведена работа по упрощению требований по раскрытию информации, за исключением компаний, к которым специальным законодательством Кыргызской Республики устанавливаются требования по раскрытию информации (коммерческих банков, страховых компаний и др.).</w:t>
      </w:r>
    </w:p>
    <w:p>
      <w:pPr>
        <w:spacing w:after="120"/>
        <w:ind w:firstLine="567"/>
        <w:jc w:val="both"/>
      </w:pPr>
      <w:r>
        <w:rPr>
          <w:rFonts w:ascii="Arial" w:cs="Arial" w:eastAsia="Arial" w:hAnsi="Arial"/>
          <w:sz w:val="20"/>
          <w:szCs w:val="20"/>
        </w:rPr>
        <w:t xml:space="preserve">Кроме этого, в данном направлении Госкомценбумаг необходимо пересмотреть политику регулирования деятельности эмитентов в сторону либерализации регулирования непубличных эмитентов и усиления надзора публичных эмитентов. При проведении плановых проверок в приоритетном порядке Госкомценбумаг должны проводиться проверки публичных эмитентов.</w:t>
      </w:r>
    </w:p>
    <w:p>
      <w:pPr>
        <w:spacing w:after="120"/>
        <w:ind w:firstLine="567"/>
        <w:jc w:val="both"/>
      </w:pPr>
      <w:r>
        <w:rPr>
          <w:rFonts w:ascii="Arial" w:cs="Arial" w:eastAsia="Arial" w:hAnsi="Arial"/>
          <w:sz w:val="20"/>
          <w:szCs w:val="20"/>
        </w:rPr>
        <w:t xml:space="preserve">Также необходимо проработать вопрос об установлении специальных требований к аудиту публичных эмитентов.</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Создание на рынке ценных бумаг сегмента, представленного</w:t>
      </w:r>
    </w:p>
    <w:p>
      <w:pPr>
        <w:spacing w:after="120"/>
        <w:ind w:firstLine="567"/>
        <w:jc w:val="both"/>
      </w:pPr>
      <w:r>
        <w:rPr>
          <w:rFonts w:ascii="Arial" w:cs="Arial" w:eastAsia="Arial" w:hAnsi="Arial"/>
          <w:sz w:val="20"/>
          <w:szCs w:val="20"/>
        </w:rPr>
        <w:t xml:space="preserve">высококачественными финансовыми инструментами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Одним из важных направлений дальнейшего развития рынка ценных бумаг является создание сегмента рынка, представленного финансовыми инструментами, несущими минимальные риски. Такой сегмент рынка будет "показательным", обеспечивающий финансовую безопасность. Он специально предназначен для привлечения средств неквалифицированных инвесторов и институциональных инвесторов, так как их вкладчиками являются широкие слои населения.</w:t>
      </w:r>
    </w:p>
    <w:p>
      <w:pPr>
        <w:spacing w:after="120"/>
        <w:ind w:firstLine="567"/>
        <w:jc w:val="both"/>
      </w:pPr>
      <w:r>
        <w:rPr>
          <w:rFonts w:ascii="Arial" w:cs="Arial" w:eastAsia="Arial" w:hAnsi="Arial"/>
          <w:sz w:val="20"/>
          <w:szCs w:val="20"/>
        </w:rPr>
        <w:t xml:space="preserve">Данный сегмент должен одновременно содержать следующие характеристики:</w:t>
      </w:r>
    </w:p>
    <w:p>
      <w:pPr>
        <w:spacing w:after="120"/>
        <w:ind w:firstLine="567"/>
        <w:jc w:val="both"/>
      </w:pPr>
      <w:r>
        <w:rPr>
          <w:rFonts w:ascii="Arial" w:cs="Arial" w:eastAsia="Arial" w:hAnsi="Arial"/>
          <w:sz w:val="20"/>
          <w:szCs w:val="20"/>
        </w:rPr>
        <w:t xml:space="preserve">- максимальная ликвидность ценных бумаг;</w:t>
      </w:r>
    </w:p>
    <w:p>
      <w:pPr>
        <w:spacing w:after="120"/>
        <w:ind w:firstLine="567"/>
        <w:jc w:val="both"/>
      </w:pPr>
      <w:r>
        <w:rPr>
          <w:rFonts w:ascii="Arial" w:cs="Arial" w:eastAsia="Arial" w:hAnsi="Arial"/>
          <w:sz w:val="20"/>
          <w:szCs w:val="20"/>
        </w:rPr>
        <w:t xml:space="preserve">- повышенные стандарты деятельности профессиональных участников рынка ценных бумаг, обеспечивающие распределение ответственности и эффективную систему управления рисками;</w:t>
      </w:r>
    </w:p>
    <w:p>
      <w:pPr>
        <w:spacing w:after="120"/>
        <w:ind w:firstLine="567"/>
        <w:jc w:val="both"/>
      </w:pPr>
      <w:r>
        <w:rPr>
          <w:rFonts w:ascii="Arial" w:cs="Arial" w:eastAsia="Arial" w:hAnsi="Arial"/>
          <w:sz w:val="20"/>
          <w:szCs w:val="20"/>
        </w:rPr>
        <w:t xml:space="preserve">- информационная прозрачность рынка.</w:t>
      </w:r>
    </w:p>
    <w:p>
      <w:pPr>
        <w:spacing w:after="120"/>
        <w:ind w:firstLine="567"/>
        <w:jc w:val="both"/>
      </w:pPr>
      <w:r>
        <w:rPr>
          <w:rFonts w:ascii="Arial" w:cs="Arial" w:eastAsia="Arial" w:hAnsi="Arial"/>
          <w:sz w:val="20"/>
          <w:szCs w:val="20"/>
        </w:rPr>
        <w:t xml:space="preserve">Для появления подобного сегмента рынка ценных бумаг необходимо сделать практические шаги, касающиеся повышения требований:</w:t>
      </w:r>
    </w:p>
    <w:p>
      <w:pPr>
        <w:spacing w:after="120"/>
        <w:ind w:firstLine="567"/>
        <w:jc w:val="both"/>
      </w:pPr>
      <w:r>
        <w:rPr>
          <w:rFonts w:ascii="Arial" w:cs="Arial" w:eastAsia="Arial" w:hAnsi="Arial"/>
          <w:sz w:val="20"/>
          <w:szCs w:val="20"/>
        </w:rPr>
        <w:t xml:space="preserve">- к листингу ценных бумаг;</w:t>
      </w:r>
    </w:p>
    <w:p>
      <w:pPr>
        <w:spacing w:after="120"/>
        <w:ind w:firstLine="567"/>
        <w:jc w:val="both"/>
      </w:pPr>
      <w:r>
        <w:rPr>
          <w:rFonts w:ascii="Arial" w:cs="Arial" w:eastAsia="Arial" w:hAnsi="Arial"/>
          <w:sz w:val="20"/>
          <w:szCs w:val="20"/>
        </w:rPr>
        <w:t xml:space="preserve">- к брокерам - в отношении вопроса консультирования инвесторов.</w:t>
      </w:r>
    </w:p>
    <w:p>
      <w:pPr>
        <w:spacing w:after="120"/>
        <w:ind w:firstLine="567"/>
        <w:jc w:val="both"/>
      </w:pPr>
      <w:r>
        <w:rPr>
          <w:rFonts w:ascii="Arial" w:cs="Arial" w:eastAsia="Arial" w:hAnsi="Arial"/>
          <w:sz w:val="20"/>
          <w:szCs w:val="20"/>
        </w:rPr>
        <w:t xml:space="preserve">Должны быть повышены требования, касающиеся показателей финансово-экономической деятельности и раскрытия информации эмитентами ценных бумаг, прошедшими листинг.</w:t>
      </w:r>
    </w:p>
    <w:p>
      <w:pPr>
        <w:spacing w:after="120"/>
        <w:ind w:firstLine="567"/>
        <w:jc w:val="both"/>
      </w:pPr>
      <w:r>
        <w:rPr>
          <w:rFonts w:ascii="Arial" w:cs="Arial" w:eastAsia="Arial" w:hAnsi="Arial"/>
          <w:sz w:val="20"/>
          <w:szCs w:val="20"/>
        </w:rPr>
        <w:t xml:space="preserve">В отношении листинга ценных бумаг необходимо предусмотреть возможность государству устанавливать минимальные требования к правилам листинга организаторов торговли на рынке ценных бумаг. Важно усилить ответственность организаторов торговли на рынке ценных бумаг за осуществление листинга ценных бумаг, что приведет к двойному контролю за эмитентами листинговых ценных бумаг - контролю со стороны государства и организатора торговли на рынке ценных бумаг, в результате чего будет повышен статус листинговых ценных бумаг.</w:t>
      </w:r>
    </w:p>
    <w:p>
      <w:pPr>
        <w:spacing w:after="120"/>
        <w:ind w:firstLine="567"/>
        <w:jc w:val="both"/>
      </w:pPr>
      <w:r>
        <w:rPr>
          <w:rFonts w:ascii="Arial" w:cs="Arial" w:eastAsia="Arial" w:hAnsi="Arial"/>
          <w:sz w:val="20"/>
          <w:szCs w:val="20"/>
        </w:rPr>
        <w:t xml:space="preserve">Также необходимо проработать вопрос о повышении стандартов и правил деятельности профессиональных участников рынка ценных бумаг. Должны быть повышены требования, касающиеся показателей финансово-экономической деятельности профессиональных участников рынка ценных бумаг. Кроме этого, необходимо разработать правила консультирования брокерами своих клиентов, предусматривающие обязательное раскрытие брокерами всем потенциальным инвесторам информации, содержащейся в проспекте эмиссии ценных бумаг, а также информации о рисках, которым подвержены ценные бумаги. В данных правилах также следует предусмотреть обязательные рекомендации брокеров по приобретению ценных бумаг инвесторами.</w:t>
      </w:r>
    </w:p>
    <w:p>
      <w:pPr>
        <w:spacing w:after="120"/>
        <w:ind w:firstLine="567"/>
        <w:jc w:val="both"/>
      </w:pPr>
      <w:r>
        <w:rPr>
          <w:rFonts w:ascii="Arial" w:cs="Arial" w:eastAsia="Arial" w:hAnsi="Arial"/>
          <w:sz w:val="20"/>
          <w:szCs w:val="20"/>
        </w:rPr>
        <w:t xml:space="preserve">В результате обеспечения вышеуказанных мер инвесторы будут принимать взвешенные инвестиционные решения, что в свою очередь позволит избежать различных негативных последствий. Кроме этого, исключается возможность привлечения денежных средств неквалифицированных инвесторов "непрозрачными" и "рискованными" компаниями.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Обеспечение надежности системы регистрации прав на ценные бумаги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Учитывая, что обеспечение надежности системы регистрации и учета прав на ценные бумаги является одним из необходимых условий устойчивости и привлекательности фондового рынка республики, а также усиления доверия инвесторов к рынку ценных бумаг, важно совершенствовать сферу учета прав собственности на ценные бумаги в целях минимизации рисков нарушения прав инвесторов.</w:t>
      </w:r>
    </w:p>
    <w:p>
      <w:pPr>
        <w:spacing w:after="120"/>
        <w:ind w:firstLine="567"/>
        <w:jc w:val="both"/>
      </w:pPr>
      <w:r>
        <w:rPr>
          <w:rFonts w:ascii="Arial" w:cs="Arial" w:eastAsia="Arial" w:hAnsi="Arial"/>
          <w:sz w:val="20"/>
          <w:szCs w:val="20"/>
        </w:rPr>
        <w:t xml:space="preserve">В этом направлении требуется провести работу по совершенствованию законодательства, а также предпринять ряд мер, направленных на повышение стандартов деятельности инфраструктурных организаций, прежде всего специализированных независимых регистраторов (далее - регистраторы):</w:t>
      </w:r>
    </w:p>
    <w:p>
      <w:pPr>
        <w:spacing w:after="120"/>
        <w:ind w:firstLine="567"/>
        <w:jc w:val="both"/>
      </w:pPr>
      <w:r>
        <w:rPr>
          <w:rFonts w:ascii="Arial" w:cs="Arial" w:eastAsia="Arial" w:hAnsi="Arial"/>
          <w:sz w:val="20"/>
          <w:szCs w:val="20"/>
        </w:rPr>
        <w:t xml:space="preserve">- проведение политики, направленной на обеспечение надежности регистраторов и их независимости от эмитентов;</w:t>
      </w:r>
    </w:p>
    <w:p>
      <w:pPr>
        <w:spacing w:after="120"/>
        <w:ind w:firstLine="567"/>
        <w:jc w:val="both"/>
      </w:pPr>
      <w:r>
        <w:rPr>
          <w:rFonts w:ascii="Arial" w:cs="Arial" w:eastAsia="Arial" w:hAnsi="Arial"/>
          <w:sz w:val="20"/>
          <w:szCs w:val="20"/>
        </w:rPr>
        <w:t xml:space="preserve">- повышение требований к минимальным размерам собственных средств регистраторов;</w:t>
      </w:r>
    </w:p>
    <w:p>
      <w:pPr>
        <w:spacing w:after="120"/>
        <w:ind w:firstLine="567"/>
        <w:jc w:val="both"/>
      </w:pPr>
      <w:r>
        <w:rPr>
          <w:rFonts w:ascii="Arial" w:cs="Arial" w:eastAsia="Arial" w:hAnsi="Arial"/>
          <w:sz w:val="20"/>
          <w:szCs w:val="20"/>
        </w:rPr>
        <w:t xml:space="preserve">- установление минимальных требований к составу и структуре активов регистраторов;</w:t>
      </w:r>
    </w:p>
    <w:p>
      <w:pPr>
        <w:spacing w:after="120"/>
        <w:ind w:firstLine="567"/>
        <w:jc w:val="both"/>
      </w:pPr>
      <w:r>
        <w:rPr>
          <w:rFonts w:ascii="Arial" w:cs="Arial" w:eastAsia="Arial" w:hAnsi="Arial"/>
          <w:sz w:val="20"/>
          <w:szCs w:val="20"/>
        </w:rPr>
        <w:t xml:space="preserve">- установление требования к регистраторам по обязательному дублированию за пределами здания, где они расположены, информации о правах на ценные бумаги;</w:t>
      </w:r>
    </w:p>
    <w:p>
      <w:pPr>
        <w:spacing w:after="120"/>
        <w:ind w:firstLine="567"/>
        <w:jc w:val="both"/>
      </w:pPr>
      <w:r>
        <w:rPr>
          <w:rFonts w:ascii="Arial" w:cs="Arial" w:eastAsia="Arial" w:hAnsi="Arial"/>
          <w:sz w:val="20"/>
          <w:szCs w:val="20"/>
        </w:rPr>
        <w:t xml:space="preserve">- проработка вопроса о введении страхования рисков учетной системы в качестве обязательного условия осуществления профессиональной деятельности по ведению реестров владельцев ценных бумаг, в том числе рассмотрение вопросов о введении минимального размера обязательного страхования и список рисков, подлежащих страхованию (технический сбой, ошибки или неправомерные действия персонала, причинение ущерба эмитенту и т.д.).</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Установление единых стандартов обращения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Рынок ценных бумаг в республике в настоящее время представлен государственными и корпоративными ценными бумагами. На сегодняшний день на внутреннем рынке Кыргызстана существуют пять видов государственных ценных бумаг: ГКВ, Казначейские обязательства, Государственные среднесрочные купонные облигации, Государственные ценные бумаги урегулирования, Краткосрочные ноты Национального банка Кыргызской Республики. Корпоративные ценные бумаги представлены акциями и облигациями.</w:t>
      </w:r>
    </w:p>
    <w:p>
      <w:pPr>
        <w:spacing w:after="120"/>
        <w:ind w:firstLine="567"/>
        <w:jc w:val="both"/>
      </w:pPr>
      <w:r>
        <w:rPr>
          <w:rFonts w:ascii="Arial" w:cs="Arial" w:eastAsia="Arial" w:hAnsi="Arial"/>
          <w:sz w:val="20"/>
          <w:szCs w:val="20"/>
        </w:rPr>
        <w:t xml:space="preserve">В настоящее время торговые сделки с государственными ценными бумагами совершаются через Национальный банк Кыргызской Республики. Сделки с корпоративными ценными бумагами через торговые площадки организаторов торговли на рынке ценных бумаг.</w:t>
      </w:r>
    </w:p>
    <w:p>
      <w:pPr>
        <w:spacing w:after="120"/>
        <w:ind w:firstLine="567"/>
        <w:jc w:val="both"/>
      </w:pPr>
      <w:r>
        <w:rPr>
          <w:rFonts w:ascii="Arial" w:cs="Arial" w:eastAsia="Arial" w:hAnsi="Arial"/>
          <w:sz w:val="20"/>
          <w:szCs w:val="20"/>
        </w:rPr>
        <w:t xml:space="preserve">Следует начать работу по созданию условий для установления единых стандартов обращения государственных и корпоративных ценных бумаг. Обращение всех видов ценных бумаг на торговых площадках организаторов торговли на рынке ценных бумаг имеет ряд преимуществ перед существующей системой обращения ценных бумаг: во-первых, у инвесторов появится возможность приобрести на одной торговой площадке различные виды финансовых инструментов рынка ценных бумаг, во-вторых, будет оказано содействие развитию рынка ценных бумаг и совершенствованию его инфраструктуры.</w:t>
      </w:r>
    </w:p>
    <w:p>
      <w:pPr>
        <w:spacing w:after="120"/>
        <w:ind w:firstLine="567"/>
        <w:jc w:val="both"/>
      </w:pPr>
      <w:r>
        <w:rPr>
          <w:rFonts w:ascii="Arial" w:cs="Arial" w:eastAsia="Arial" w:hAnsi="Arial"/>
          <w:sz w:val="20"/>
          <w:szCs w:val="20"/>
        </w:rPr>
        <w:t xml:space="preserve">Следует отметить, что нормативная база рынка ценных бумаг охватывает весь процесс выпуска и обращения эмиссионных ценных бумаг - акций и облигаций. Необходимо совершенствовать нормативные правовые акты в целях их применения, в части обращения ценных бумаг, для других ценных бумаг - государственных и муниципальных.</w:t>
      </w:r>
    </w:p>
    <w:p>
      <w:pPr>
        <w:spacing w:after="120"/>
        <w:ind w:firstLine="567"/>
        <w:jc w:val="both"/>
      </w:pPr>
      <w:r>
        <w:rPr>
          <w:rFonts w:ascii="Arial" w:cs="Arial" w:eastAsia="Arial" w:hAnsi="Arial"/>
          <w:sz w:val="20"/>
          <w:szCs w:val="20"/>
        </w:rPr>
        <w:t xml:space="preserve">Установление единых стандартов обращения ценных бумаг позволит унифицировать и гармонизировать рынок ценных бумаг Кыргызской Республики. Размещение и обращение государственных ценных бумаг через фондовые биржи позволит обеспечить более прозрачное обращение данных ценных бумаг.</w:t>
      </w:r>
    </w:p>
    <w:p>
      <w:pPr>
        <w:spacing w:after="120"/>
        <w:ind w:firstLine="567"/>
        <w:jc w:val="both"/>
      </w:pPr>
      <w:r>
        <w:rPr>
          <w:rFonts w:ascii="Arial" w:cs="Arial" w:eastAsia="Arial" w:hAnsi="Arial"/>
          <w:sz w:val="20"/>
          <w:szCs w:val="20"/>
        </w:rPr>
        <w:t xml:space="preserve">В этих целях 29 апреля 2003 года рабочей группой, образованной распоряжением Правительства Кыргызской Республики от 20 августа 2002 года N 437-р, было разработано предложение, в соответствии с которым необходимо в ближайшее время начать работу по реализации пилотного проекта обращения государственных ценных бумаг через организаторов торговли на рынке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Расширение круга финансовых инструментов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Рынок ценных бумаг напрямую зависит от состояния реального сектора экономики. Значительная часть предприятий нашей республики являются не прибыльными, вследствие чего их ценные бумаги неликвидные, так как корпоративные ценные бумаги в основном представлены акциями, доход по которым зависит от прибыльности компании. В республике пока слабо развит рынок корпоративных облигаций и отсутствуют рынки иных ценных бумаг, таких как ипотечные ценные бумаги и муниципальные ценные бумаги.</w:t>
      </w:r>
    </w:p>
    <w:p>
      <w:pPr>
        <w:spacing w:after="120"/>
        <w:ind w:firstLine="567"/>
        <w:jc w:val="both"/>
      </w:pPr>
      <w:r>
        <w:rPr>
          <w:rFonts w:ascii="Arial" w:cs="Arial" w:eastAsia="Arial" w:hAnsi="Arial"/>
          <w:sz w:val="20"/>
          <w:szCs w:val="20"/>
        </w:rPr>
        <w:t xml:space="preserve">В настоящее время уже ведется работа по решению проблемы узкого круга финансовых инструментов рынка ценных бумаг - предпринимаются усилия по созданию условий для появления на рынке новых надежных, высоколиквидных, долгосрочных ценных бумаг.</w:t>
      </w:r>
    </w:p>
    <w:p>
      <w:pPr>
        <w:spacing w:after="120"/>
        <w:ind w:firstLine="567"/>
        <w:jc w:val="both"/>
      </w:pPr>
      <w:r>
        <w:rPr>
          <w:rFonts w:ascii="Arial" w:cs="Arial" w:eastAsia="Arial" w:hAnsi="Arial"/>
          <w:sz w:val="20"/>
          <w:szCs w:val="20"/>
        </w:rPr>
        <w:t xml:space="preserve">Так, уже появились и имеют обращение корпоративные облигации, ведется целенаправленная работа по их развитию.</w:t>
      </w:r>
    </w:p>
    <w:p>
      <w:pPr>
        <w:spacing w:after="120"/>
        <w:ind w:firstLine="567"/>
        <w:jc w:val="both"/>
      </w:pPr>
      <w:r>
        <w:rPr>
          <w:rFonts w:ascii="Arial" w:cs="Arial" w:eastAsia="Arial" w:hAnsi="Arial"/>
          <w:sz w:val="20"/>
          <w:szCs w:val="20"/>
        </w:rPr>
        <w:t xml:space="preserve">В настоящее время Госкомценбумаг ведутся разработки по внедрению муниципальных ценных бумаг, использование которых позволило бы содействовать в решении вопросов финансирования местных органов власти и расширении возможности инвестирования в проекты муниципалитетов. На сегодня, в целях создания условий для развития рынка муниципальных ценных бумаг, принято постановление Правительства Кыргызской Республики от 8 октября 2002 года N 692 "Об утверждении Временного положения о выпуске и обращении в Кыргызской Республике муниципальных ценных бумаг". Госкомценбумаг необходимо оказывать содействие и консультирование других ведомств по вопросам выпуска муниципальных ценных бумаг.</w:t>
      </w:r>
    </w:p>
    <w:p>
      <w:pPr>
        <w:spacing w:after="120"/>
        <w:ind w:firstLine="567"/>
        <w:jc w:val="both"/>
      </w:pPr>
      <w:r>
        <w:rPr>
          <w:rFonts w:ascii="Arial" w:cs="Arial" w:eastAsia="Arial" w:hAnsi="Arial"/>
          <w:sz w:val="20"/>
          <w:szCs w:val="20"/>
        </w:rPr>
        <w:t xml:space="preserve">Кроме этого, требуется проработка вопроса о внедрении таких ценных бумаг, как ипотечные ценные бумаги, которые в силу своей более высокой надежности должны стать важным инвестиционным инструментом для институциональных инвесторов.</w:t>
      </w:r>
    </w:p>
    <w:p>
      <w:pPr>
        <w:spacing w:after="120"/>
        <w:ind w:firstLine="567"/>
        <w:jc w:val="both"/>
      </w:pPr>
      <w:r>
        <w:rPr>
          <w:rFonts w:ascii="Arial" w:cs="Arial" w:eastAsia="Arial" w:hAnsi="Arial"/>
          <w:sz w:val="20"/>
          <w:szCs w:val="20"/>
        </w:rPr>
        <w:t xml:space="preserve">Следует отметить, что проблема узкого круга финансовых инструментов обусловлена отсутствием на рынке крупных институциональных инвесторов. При появлении на рынке таких инвесторов можно ожидать, по примеру Казахстана, бурного развития и появления новых финансовых инструментов рынка ценных бумаг.</w:t>
      </w:r>
    </w:p>
    <w:p>
      <w:pPr>
        <w:spacing w:after="120"/>
        <w:ind w:firstLine="567"/>
        <w:jc w:val="both"/>
      </w:pPr>
      <w:r>
        <w:rPr>
          <w:rFonts w:ascii="Arial" w:cs="Arial" w:eastAsia="Arial" w:hAnsi="Arial"/>
          <w:sz w:val="20"/>
          <w:szCs w:val="20"/>
        </w:rPr>
        <w:t xml:space="preserve">Таким образом, в рамках настоящей Программы приоритетным направлением государственной политики развития финансовых инструментов рынка ценных бумаг предусматривается развитие корпоративных облигаций, муниципальных ценных бумаг, жилищных сертификатов и ипотечных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Популяризация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Важным направлением развития рынка ценных бумаг должна стать его популяризация. Аудиторией для такой работы должны стать потенциальные инвесторы и эмитенты на рынке ценных бумаг. Реализация данной задачи позволит не только привлечь на фондовый рынок новых участников, но и защитить их от возможных ошибок и рисков.</w:t>
      </w:r>
    </w:p>
    <w:p>
      <w:pPr>
        <w:spacing w:after="120"/>
        <w:ind w:firstLine="567"/>
        <w:jc w:val="both"/>
      </w:pPr>
      <w:r>
        <w:rPr>
          <w:rFonts w:ascii="Arial" w:cs="Arial" w:eastAsia="Arial" w:hAnsi="Arial"/>
          <w:sz w:val="20"/>
          <w:szCs w:val="20"/>
        </w:rPr>
        <w:t xml:space="preserve">Фондовый рынок может быть популяризирован посредством осуществления работ по следующим двум основным направлениям:</w:t>
      </w:r>
    </w:p>
    <w:p>
      <w:pPr>
        <w:spacing w:after="120"/>
        <w:ind w:firstLine="567"/>
        <w:jc w:val="both"/>
      </w:pPr>
      <w:r>
        <w:rPr>
          <w:rFonts w:ascii="Arial" w:cs="Arial" w:eastAsia="Arial" w:hAnsi="Arial"/>
          <w:sz w:val="20"/>
          <w:szCs w:val="20"/>
        </w:rPr>
        <w:t xml:space="preserve">- информационно-просветительское обеспечение;</w:t>
      </w:r>
    </w:p>
    <w:p>
      <w:pPr>
        <w:spacing w:after="120"/>
        <w:ind w:firstLine="567"/>
        <w:jc w:val="both"/>
      </w:pPr>
      <w:r>
        <w:rPr>
          <w:rFonts w:ascii="Arial" w:cs="Arial" w:eastAsia="Arial" w:hAnsi="Arial"/>
          <w:sz w:val="20"/>
          <w:szCs w:val="20"/>
        </w:rPr>
        <w:t xml:space="preserve">- образовательная работа.</w:t>
      </w:r>
    </w:p>
    <w:p>
      <w:pPr>
        <w:spacing w:after="120"/>
        <w:ind w:firstLine="567"/>
        <w:jc w:val="both"/>
      </w:pPr>
      <w:r>
        <w:rPr>
          <w:rFonts w:ascii="Arial" w:cs="Arial" w:eastAsia="Arial" w:hAnsi="Arial"/>
          <w:sz w:val="20"/>
          <w:szCs w:val="20"/>
        </w:rPr>
        <w:t xml:space="preserve">Информационно-просветительское обеспечение рынка ценных бумаг должно осуществляться путем системного раскрытия информации о рынке ценных бумаг участниками рынка - государством и профессиональными участниками рынка ценных бумаг. Данное направление должно охватить вопросы раскрытия информации о фондовом рынке через средства массовой информации. Необходимо провести работу по формированию системы информационного обеспечения развития рынка ценных бумаг путем тесного сотрудничества со средствами массовой информации, проведения семинаров и конференций, раскрывающих проблематику тех или иных вопросов рынка, в том числе по вопросам прав и обязанностей инвесторов, рисков при инвестициях, деятельности субъектов рынка ценных бумаг и др.</w:t>
      </w:r>
    </w:p>
    <w:p>
      <w:pPr>
        <w:spacing w:after="120"/>
        <w:ind w:firstLine="567"/>
        <w:jc w:val="both"/>
      </w:pPr>
      <w:r>
        <w:rPr>
          <w:rFonts w:ascii="Arial" w:cs="Arial" w:eastAsia="Arial" w:hAnsi="Arial"/>
          <w:sz w:val="20"/>
          <w:szCs w:val="20"/>
        </w:rPr>
        <w:t xml:space="preserve">Сотрудничество со средствами массовой информации должно происходить на постоянной основе в целях активного освещения информации по вышеназванным вопросам, о деятельности Госкомценбумаг (в сфере разработок нормативных правовых документов, контроля за соблюдением эмитентами и профессиональными участниками законодательства по рынку ценных бумаг, итогов проверок эмитентов и профессиональных участников рынка ценных бумаг и др.), текущей ситуации фондового рынка. Также в этих целях должна активно развиваться система публикации информации о рынке ценных бумаг Кыргызстана на официальном Веб-сайте Госкомценбумаг.</w:t>
      </w:r>
    </w:p>
    <w:p>
      <w:pPr>
        <w:spacing w:after="120"/>
        <w:ind w:firstLine="567"/>
        <w:jc w:val="both"/>
      </w:pPr>
      <w:r>
        <w:rPr>
          <w:rFonts w:ascii="Arial" w:cs="Arial" w:eastAsia="Arial" w:hAnsi="Arial"/>
          <w:sz w:val="20"/>
          <w:szCs w:val="20"/>
        </w:rPr>
        <w:t xml:space="preserve">Развитие рынка ценных бумаг, его совершенствование предполагают организацию процесса подготовки новых кадров и постоянного повышения квалификации основной массы его участников (эмитентов, дилеров, брокеров, аналитиков и пр.). Образовательная работа является необходимой составляющей популяризации рынка ценных бумаг. Эта работа связана, прежде всего, с подготовкой специалистов рынка и повышения их профессионального уровня.</w:t>
      </w:r>
    </w:p>
    <w:p>
      <w:pPr>
        <w:spacing w:after="120"/>
        <w:ind w:firstLine="567"/>
        <w:jc w:val="both"/>
      </w:pPr>
      <w:r>
        <w:rPr>
          <w:rFonts w:ascii="Arial" w:cs="Arial" w:eastAsia="Arial" w:hAnsi="Arial"/>
          <w:sz w:val="20"/>
          <w:szCs w:val="20"/>
        </w:rPr>
        <w:t xml:space="preserve">Кроме этого, учитывая емкость содержания нормативной базы, регулирующей вопросы рынка ценных бумаг, требуется проведение учебных семинаров по вопросам функционирования рынка. В этом направлении Госкомценбумаг необходимо совместно с учебными центрами по подготовке специалистов рынка ценных бумаг совершенствовать учебные программы, которые охватят все правовые вопросы функционирования фондового рынка.</w:t>
      </w:r>
    </w:p>
    <w:p>
      <w:pPr>
        <w:spacing w:after="120"/>
        <w:ind w:firstLine="567"/>
        <w:jc w:val="both"/>
      </w:pPr>
      <w:r>
        <w:rPr>
          <w:rFonts w:ascii="Arial" w:cs="Arial" w:eastAsia="Arial" w:hAnsi="Arial"/>
          <w:sz w:val="20"/>
          <w:szCs w:val="20"/>
        </w:rPr>
        <w:t xml:space="preserve">Популяризация фондового рынка является одним из основных условий дальнейшего прогрессивного развития рынка. Вместе с этим необходимо признать, что реализация данного направления является одним из сложных вопросов, так как требует значительного финансирования. В этих целях необходимо разработать программу, предусматривающую реализацию всех основных направлений работ по популяризации рынка ценных бумаг. При разработке программы необходимо предусмотреть вопросы финансирования мероприятий по ее реализации. Учитывая важность данного вопроса, его реализацию необходимо осуществить совместно со всеми заинтересованными сторонами - профессиональными участниками рынка ценных бумаг, международными организациями, иностранными консультантами.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Создание условий для привлечения средств институциональных</w:t>
      </w:r>
    </w:p>
    <w:p>
      <w:pPr>
        <w:spacing w:after="120"/>
        <w:ind w:firstLine="567"/>
        <w:jc w:val="both"/>
      </w:pPr>
      <w:r>
        <w:rPr>
          <w:rFonts w:ascii="Arial" w:cs="Arial" w:eastAsia="Arial" w:hAnsi="Arial"/>
          <w:sz w:val="20"/>
          <w:szCs w:val="20"/>
        </w:rPr>
        <w:t xml:space="preserve">инвесторов на рынок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Проблемы фондового рынка, выраженные узким кругом его финансовых инструментов, имеют другую сторону - они обусловлены отсутствием на рынке инвестиционных ресурсов, то есть эмитентам не для кого выпускать ценные бумаги.</w:t>
      </w:r>
    </w:p>
    <w:p>
      <w:pPr>
        <w:spacing w:after="120"/>
        <w:ind w:firstLine="567"/>
        <w:jc w:val="both"/>
      </w:pPr>
      <w:r>
        <w:rPr>
          <w:rFonts w:ascii="Arial" w:cs="Arial" w:eastAsia="Arial" w:hAnsi="Arial"/>
          <w:sz w:val="20"/>
          <w:szCs w:val="20"/>
        </w:rPr>
        <w:t xml:space="preserve">В рамках настоящей Программы необходимо провести последовательную работу по привлечению на фондовый рынок уже имеющихся инвестиционных ресурсов - страховых резервов, средств коммерческих банков и пенсионных активов, а также по созданию новых источников таких ресурсов.</w:t>
      </w:r>
    </w:p>
    <w:p>
      <w:pPr>
        <w:spacing w:after="120"/>
        <w:ind w:firstLine="567"/>
        <w:jc w:val="both"/>
      </w:pPr>
      <w:r>
        <w:rPr>
          <w:rFonts w:ascii="Arial" w:cs="Arial" w:eastAsia="Arial" w:hAnsi="Arial"/>
          <w:sz w:val="20"/>
          <w:szCs w:val="20"/>
        </w:rPr>
        <w:t xml:space="preserve">В этом направлении необходимо проработать вопрос об участии коммерческих банков и страховых компаний на фондовом рынке, что может способствовать повышению ликвидности рынка и увеличению инвестиционного капитала на рынке, для чего необходимо рассмотреть целесообразность установления требований по инвестированию страховых резервов по обязательным видам страхования в ценные бумаги компаний республики.</w:t>
      </w:r>
    </w:p>
    <w:p>
      <w:pPr>
        <w:spacing w:after="120"/>
        <w:ind w:firstLine="567"/>
        <w:jc w:val="both"/>
      </w:pPr>
      <w:r>
        <w:rPr>
          <w:rFonts w:ascii="Arial" w:cs="Arial" w:eastAsia="Arial" w:hAnsi="Arial"/>
          <w:sz w:val="20"/>
          <w:szCs w:val="20"/>
        </w:rPr>
        <w:t xml:space="preserve">Следует отметить, что принятие мер, предусмотренных Концепцией развития страхового рынка в Кыргызской Республике на 2003-2010 годы, утвержденной постановлением Правительства Кыргызской Республики от 31 июля 2003 года N 474 "Об утверждении Концепции развития страхового рынка в Кыргызской Республике на 2003-2010 годы", предполагает сосредоточить инвестиционный потенциал в данном секторе экономики в сумме 1 млрд.сомов уже в ближайшие 5 лет.</w:t>
      </w:r>
    </w:p>
    <w:p>
      <w:pPr>
        <w:spacing w:after="120"/>
        <w:ind w:firstLine="567"/>
        <w:jc w:val="both"/>
      </w:pPr>
      <w:r>
        <w:rPr>
          <w:rFonts w:ascii="Arial" w:cs="Arial" w:eastAsia="Arial" w:hAnsi="Arial"/>
          <w:sz w:val="20"/>
          <w:szCs w:val="20"/>
        </w:rPr>
        <w:t xml:space="preserve">В настоящее время в Кыргызской Республике проводится дальнейшее реформирование пенсионной системы. В соответствии с Указом Президента Кыргызской Республики "Об одобрении Концепции дальнейшего реформирования пенсионной системы в Кыргызской Республике" от 19 февраля 2003 года N 56 предусматривается внедрение накопительных элементов в обязательную пенсионную систему и создание условий для появления негосударственных пенсионных фондов. Во исполнение данного Указа постановлением Правительства Кыргызской Республики от 27 мая 2003 года N 311 "О Плане мероприятий по реализации Концепции дальнейшего реформирования пенсионной системы в Кыргызской Республике" утвержден План мероприятий по реализации Концепции дальнейшего реформирования пенсионной системы в Кыргызской Республике, который рассчитан на трехлетнюю перспективу. В ближайшие три года предстоит обеспечить законодательную базу для внедрения накопительных элементов в действующую пенсионную систему, провести институциональную реорганизацию и проработать вопросы размещения пенсионных накоплений. Реализация данной Концепции окажет содействие развитию рынка капиталов, будет способствовать появлению новых негосударственных пенсионных фондов и соответственно повлияет на рост пенсионных накоплений (активов) в этом секторе.</w:t>
      </w:r>
    </w:p>
    <w:p>
      <w:pPr>
        <w:spacing w:after="120"/>
        <w:ind w:firstLine="567"/>
        <w:jc w:val="both"/>
      </w:pPr>
      <w:r>
        <w:rPr>
          <w:rFonts w:ascii="Arial" w:cs="Arial" w:eastAsia="Arial" w:hAnsi="Arial"/>
          <w:sz w:val="20"/>
          <w:szCs w:val="20"/>
        </w:rPr>
        <w:t xml:space="preserve">Пенсионные накопления (активы) также должны быть привлечены на фондовый рынок. При этом основной задачей должно стать уменьшение рисков при инвестировании пенсионных активов посредством определения требований к составу и структуре пенсионных активов.</w:t>
      </w:r>
    </w:p>
    <w:p>
      <w:pPr>
        <w:spacing w:after="120"/>
        <w:ind w:firstLine="567"/>
        <w:jc w:val="both"/>
      </w:pPr>
      <w:r>
        <w:rPr>
          <w:rFonts w:ascii="Arial" w:cs="Arial" w:eastAsia="Arial" w:hAnsi="Arial"/>
          <w:sz w:val="20"/>
          <w:szCs w:val="20"/>
        </w:rPr>
        <w:t xml:space="preserve">Кроме этого, Госкомценбумаг, с учетом многолетнего опыта функционирования инвестиционных фондов, необходимо провести работу по подготовке нормативной базы, регулирующей деятельность управляющих компаний по управлению пенсионными активами. Принимая во внимание положительный мировой опыт функционирования негосударственных пенсионных фондов, а также функционирование инвестиционных фондов в республике, показывающий, что в основе организации управления негосударственными пенсионными фондами должен действовать "треугольник силы" - негосударственные пенсионные фонды, управляющая компания и депозитарий, которые будут осуществлять взаимный контроль, размещение активов негосударственных пенсионных фондов и пенсионных накоплений по государственному социальному страхованию должно осуществляться через управляющую компанию. Именно самоконтроль в системе негосударственных пенсионных фондов должен играть значительную роль, оказывая значительное содействие регулятивным органам.</w:t>
      </w:r>
    </w:p>
    <w:p>
      <w:pPr>
        <w:spacing w:after="120"/>
        <w:ind w:firstLine="567"/>
        <w:jc w:val="both"/>
      </w:pPr>
      <w:r>
        <w:rPr>
          <w:rFonts w:ascii="Arial" w:cs="Arial" w:eastAsia="Arial" w:hAnsi="Arial"/>
          <w:sz w:val="20"/>
          <w:szCs w:val="20"/>
        </w:rPr>
        <w:t xml:space="preserve">Кроме этого, необходимо рассмотреть возможность установления со временем единой лицензии на право управления активами институциональных инвесторов - коммерческих банков, инвестиционных фондов, негосударственных пенсионных фондов, как это установлено во многих странах мира. Установление единой лицензии для управляющих компаний позволит упростить и унифицировать регулирование в данной сфере, а также окажет поддержку управляющих компаний, которые смогут управлять активами сразу нескольких видов институциональных инвесторов, что приведет к укрупнению и усилению управляющих активами.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Развитие потенциала Государственной комиссии при Правительстве</w:t>
      </w:r>
    </w:p>
    <w:p>
      <w:pPr>
        <w:spacing w:after="120"/>
        <w:ind w:firstLine="567"/>
        <w:jc w:val="both"/>
      </w:pPr>
      <w:r>
        <w:rPr>
          <w:rFonts w:ascii="Arial" w:cs="Arial" w:eastAsia="Arial" w:hAnsi="Arial"/>
          <w:sz w:val="20"/>
          <w:szCs w:val="20"/>
        </w:rPr>
        <w:t xml:space="preserve">Кыргызской Республики по рынку ценных 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2003 году экспертами Азиатского банка развития через проект по усилению корпоративного управления и судебной реформе был подготовлен План действий по развитию потенциала Госкомценбумаг, направленный на укрепление общественного доверия к рынку капиталов, что необходимо для поддержания роста бизнеса в Кыргызстане. В соответствии с указанным Планом, учитывая проблемы, возникшие в 2003 году на рынке корпоративных облигаций либо связанные с профессиональной деятельностью на рынке ценных бумаг, касающиеся прав и интересов инвесторов, необходимо проработать вопрос о расширении полномочий Госкомценбумаг.</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Интеграция кыргызского фондового рынка с рынками государств</w:t>
      </w:r>
    </w:p>
    <w:p>
      <w:pPr>
        <w:spacing w:after="120"/>
        <w:ind w:firstLine="567"/>
        <w:jc w:val="both"/>
      </w:pPr>
      <w:r>
        <w:rPr>
          <w:rFonts w:ascii="Arial" w:cs="Arial" w:eastAsia="Arial" w:hAnsi="Arial"/>
          <w:sz w:val="20"/>
          <w:szCs w:val="20"/>
        </w:rPr>
        <w:t xml:space="preserve">Центральной Азии</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В настоящее время фондовый рынок республики при своем малом объеме и ограниченном числе финансовых инструментов имеет достаточно высокий уровень развития инфраструктуры. С учетом этого, в целях достижения стратегической цели активизации развития рынка ценных бумаг, предусматривающей усиление роли отечественного рынка на Центрально-Азиатском финансовом рынке, необходимо предпринять меры, направленные на интеграцию фондового рынка Кыргызстана с рынками государств Центральной Азии (Таджикистан, Туркменистан, Узбекистан, Казахстан).</w:t>
      </w:r>
    </w:p>
    <w:p>
      <w:pPr>
        <w:spacing w:after="120"/>
        <w:ind w:firstLine="567"/>
        <w:jc w:val="both"/>
      </w:pPr>
      <w:r>
        <w:rPr>
          <w:rFonts w:ascii="Arial" w:cs="Arial" w:eastAsia="Arial" w:hAnsi="Arial"/>
          <w:sz w:val="20"/>
          <w:szCs w:val="20"/>
        </w:rPr>
        <w:t xml:space="preserve">Вследствие отсутствия механизмов, рычагов, конкретных мер, направленных на более тесное сотрудничество сегодня отсутствуют конкретные отношения между фондовыми рынками стран Центральной Азии.</w:t>
      </w:r>
    </w:p>
    <w:p>
      <w:pPr>
        <w:spacing w:after="120"/>
        <w:ind w:firstLine="567"/>
        <w:jc w:val="both"/>
      </w:pPr>
      <w:r>
        <w:rPr>
          <w:rFonts w:ascii="Arial" w:cs="Arial" w:eastAsia="Arial" w:hAnsi="Arial"/>
          <w:sz w:val="20"/>
          <w:szCs w:val="20"/>
        </w:rPr>
        <w:t xml:space="preserve">Интеграция государств Центральной Азии на рынке ценных бумаг является одним из необходимых условий активизации прогрессивного развития фондовых рынков данных государств.</w:t>
      </w:r>
    </w:p>
    <w:p>
      <w:pPr>
        <w:spacing w:after="120"/>
        <w:ind w:firstLine="567"/>
        <w:jc w:val="both"/>
      </w:pPr>
      <w:r>
        <w:rPr>
          <w:rFonts w:ascii="Arial" w:cs="Arial" w:eastAsia="Arial" w:hAnsi="Arial"/>
          <w:sz w:val="20"/>
          <w:szCs w:val="20"/>
        </w:rPr>
        <w:t xml:space="preserve">Интеграционные процессы должны осуществляться по следующим направлениям:</w:t>
      </w:r>
    </w:p>
    <w:p>
      <w:pPr>
        <w:spacing w:after="120"/>
        <w:ind w:firstLine="567"/>
        <w:jc w:val="both"/>
      </w:pPr>
      <w:r>
        <w:rPr>
          <w:rFonts w:ascii="Arial" w:cs="Arial" w:eastAsia="Arial" w:hAnsi="Arial"/>
          <w:sz w:val="20"/>
          <w:szCs w:val="20"/>
        </w:rPr>
        <w:t xml:space="preserve">- осуществление гармонизации и унификация законодательства государств Центральной Азии;</w:t>
      </w:r>
    </w:p>
    <w:p>
      <w:pPr>
        <w:spacing w:after="120"/>
        <w:ind w:firstLine="567"/>
        <w:jc w:val="both"/>
      </w:pPr>
      <w:r>
        <w:rPr>
          <w:rFonts w:ascii="Arial" w:cs="Arial" w:eastAsia="Arial" w:hAnsi="Arial"/>
          <w:sz w:val="20"/>
          <w:szCs w:val="20"/>
        </w:rPr>
        <w:t xml:space="preserve">- создание общей инфраструктуры рынка ценных бумаг государств Центральной Азии;</w:t>
      </w:r>
    </w:p>
    <w:p>
      <w:pPr>
        <w:spacing w:after="120"/>
        <w:ind w:firstLine="567"/>
        <w:jc w:val="both"/>
      </w:pPr>
      <w:r>
        <w:rPr>
          <w:rFonts w:ascii="Arial" w:cs="Arial" w:eastAsia="Arial" w:hAnsi="Arial"/>
          <w:sz w:val="20"/>
          <w:szCs w:val="20"/>
        </w:rPr>
        <w:t xml:space="preserve">- снятие барьеров выхода эмитентов, профессиональных участников и других участников рынка на фондовые рынки соседних государств Центральной Азии.</w:t>
      </w:r>
    </w:p>
    <w:p>
      <w:pPr>
        <w:spacing w:after="120"/>
        <w:ind w:firstLine="567"/>
        <w:jc w:val="both"/>
      </w:pPr>
      <w:r>
        <w:rPr>
          <w:rFonts w:ascii="Arial" w:cs="Arial" w:eastAsia="Arial" w:hAnsi="Arial"/>
          <w:sz w:val="20"/>
          <w:szCs w:val="20"/>
        </w:rPr>
        <w:t xml:space="preserve">Принимая во внимание стремление Кыргызской Республики занять ведущую роль на фондовых рынках стран Центральной Азии, учитывая существующий потенциал отечественного фондового рынка, признавая особую актуальность разработки общих практических мер уполномоченных регуляторов государств Центральной Азии по вопросам деятельности профессиональных участников рынка ценных бумаг, институциональных инвесторов и фондовых бирж, в целях защиты интересов эмитентов и инвесторов и создания условий для увеличения объемов отечественного рынка с использованием потенциала Центральноазиатских государств, интеграция фондовых рынков государств Центральной Азии может осуществляться одновременно по следующим вопросам:</w:t>
      </w:r>
    </w:p>
    <w:p>
      <w:pPr>
        <w:spacing w:after="120"/>
        <w:ind w:firstLine="567"/>
        <w:jc w:val="both"/>
      </w:pPr>
      <w:r>
        <w:rPr>
          <w:rFonts w:ascii="Arial" w:cs="Arial" w:eastAsia="Arial" w:hAnsi="Arial"/>
          <w:sz w:val="20"/>
          <w:szCs w:val="20"/>
        </w:rPr>
        <w:t xml:space="preserve">1. Заключение соглашений между Кыргызской Республикой и государствами Центральной Азии о признании ими лицензий профессиональных участников рынка ценных бумаг Кыргызской Республики и квалификационных свидетельств их специалистов.</w:t>
      </w:r>
    </w:p>
    <w:p>
      <w:pPr>
        <w:spacing w:after="120"/>
        <w:ind w:firstLine="567"/>
        <w:jc w:val="both"/>
      </w:pPr>
      <w:r>
        <w:rPr>
          <w:rFonts w:ascii="Arial" w:cs="Arial" w:eastAsia="Arial" w:hAnsi="Arial"/>
          <w:sz w:val="20"/>
          <w:szCs w:val="20"/>
        </w:rPr>
        <w:t xml:space="preserve">2. Гармонизация национальных законодательств на основе международного соглашения в форме рекомендаций, принятых государствами Центральной Азии.</w:t>
      </w:r>
    </w:p>
    <w:p>
      <w:pPr>
        <w:spacing w:after="120"/>
        <w:ind w:firstLine="567"/>
        <w:jc w:val="both"/>
      </w:pPr>
      <w:r>
        <w:rPr>
          <w:rFonts w:ascii="Arial" w:cs="Arial" w:eastAsia="Arial" w:hAnsi="Arial"/>
          <w:sz w:val="20"/>
          <w:szCs w:val="20"/>
        </w:rPr>
        <w:t xml:space="preserve">3. Разработка и реализация единых принципов, правил регулирования деятельности профессиональных участников рынка ценных бумаг государств Центральной Азии, обеспечивающих:</w:t>
      </w:r>
    </w:p>
    <w:p>
      <w:pPr>
        <w:spacing w:after="120"/>
        <w:ind w:firstLine="567"/>
        <w:jc w:val="both"/>
      </w:pPr>
      <w:r>
        <w:rPr>
          <w:rFonts w:ascii="Arial" w:cs="Arial" w:eastAsia="Arial" w:hAnsi="Arial"/>
          <w:sz w:val="20"/>
          <w:szCs w:val="20"/>
        </w:rPr>
        <w:t xml:space="preserve">- систему допуска к осуществлению профессиональной деятельности на рынке ценных бумаг;</w:t>
      </w:r>
    </w:p>
    <w:p>
      <w:pPr>
        <w:spacing w:after="120"/>
        <w:ind w:firstLine="567"/>
        <w:jc w:val="both"/>
      </w:pPr>
      <w:r>
        <w:rPr>
          <w:rFonts w:ascii="Arial" w:cs="Arial" w:eastAsia="Arial" w:hAnsi="Arial"/>
          <w:sz w:val="20"/>
          <w:szCs w:val="20"/>
        </w:rPr>
        <w:t xml:space="preserve">- формирование единых принципов деятельности на организованном рынке ценных бумаг (построение систем листинга и раскрытия информации, организации торговли и контроля сделок с ценными бумагами);</w:t>
      </w:r>
    </w:p>
    <w:p>
      <w:pPr>
        <w:spacing w:after="120"/>
        <w:ind w:firstLine="567"/>
        <w:jc w:val="both"/>
      </w:pPr>
      <w:r>
        <w:rPr>
          <w:rFonts w:ascii="Arial" w:cs="Arial" w:eastAsia="Arial" w:hAnsi="Arial"/>
          <w:sz w:val="20"/>
          <w:szCs w:val="20"/>
        </w:rPr>
        <w:t xml:space="preserve">- строгое соблюдение учета прав собственности на ценные бумаги.</w:t>
      </w:r>
    </w:p>
    <w:p>
      <w:pPr>
        <w:spacing w:after="120"/>
        <w:ind w:firstLine="567"/>
        <w:jc w:val="both"/>
      </w:pPr>
      <w:r>
        <w:rPr>
          <w:rFonts w:ascii="Arial" w:cs="Arial" w:eastAsia="Arial" w:hAnsi="Arial"/>
          <w:sz w:val="20"/>
          <w:szCs w:val="20"/>
        </w:rPr>
        <w:t xml:space="preserve">4. Разработка единых подходов к созданию системы раскрытия информации субъектами фондового рынка.</w:t>
      </w:r>
    </w:p>
    <w:p>
      <w:pPr>
        <w:spacing w:after="120"/>
        <w:ind w:firstLine="567"/>
        <w:jc w:val="both"/>
      </w:pPr>
      <w:r>
        <w:rPr>
          <w:rFonts w:ascii="Arial" w:cs="Arial" w:eastAsia="Arial" w:hAnsi="Arial"/>
          <w:sz w:val="20"/>
          <w:szCs w:val="20"/>
        </w:rPr>
        <w:t xml:space="preserve">5. Установление наиболее доступных форм и способов порядка обмена информацией между регуляторами рынков ценных бумаг государств Центральной Азии.</w:t>
      </w:r>
    </w:p>
    <w:p>
      <w:pPr>
        <w:spacing w:after="120"/>
        <w:ind w:firstLine="567"/>
        <w:jc w:val="both"/>
      </w:pPr>
      <w:r>
        <w:rPr>
          <w:rFonts w:ascii="Arial" w:cs="Arial" w:eastAsia="Arial" w:hAnsi="Arial"/>
          <w:sz w:val="20"/>
          <w:szCs w:val="20"/>
        </w:rPr>
        <w:t xml:space="preserve">Для реализации вышеперечисленных направлений Госкомценбумаг целесообразно:</w:t>
      </w:r>
    </w:p>
    <w:p>
      <w:pPr>
        <w:spacing w:after="120"/>
        <w:ind w:firstLine="567"/>
        <w:jc w:val="both"/>
      </w:pPr>
      <w:r>
        <w:rPr>
          <w:rFonts w:ascii="Arial" w:cs="Arial" w:eastAsia="Arial" w:hAnsi="Arial"/>
          <w:sz w:val="20"/>
          <w:szCs w:val="20"/>
        </w:rPr>
        <w:t xml:space="preserve">- проводить работу с уполномоченными органами по регулированию рынков ценных бумаг государств Центральной Азии по гармонизации национальных законодательств;</w:t>
      </w:r>
    </w:p>
    <w:p>
      <w:pPr>
        <w:spacing w:after="120"/>
        <w:ind w:firstLine="567"/>
        <w:jc w:val="both"/>
      </w:pPr>
      <w:r>
        <w:rPr>
          <w:rFonts w:ascii="Arial" w:cs="Arial" w:eastAsia="Arial" w:hAnsi="Arial"/>
          <w:sz w:val="20"/>
          <w:szCs w:val="20"/>
        </w:rPr>
        <w:t xml:space="preserve">- внести предложения в уполномоченные органы по регулированию рынков ценных бумаг государств Центральной Азии о необходимости проведения с ними совещаний и консультаций на регулярной основе в целях обеспечения эффективного взаимодействия и взаимного сотрудничества.</w:t>
      </w:r>
    </w:p>
    <w:p>
      <w:pPr>
        <w:spacing w:after="120"/>
        <w:ind w:firstLine="567"/>
        <w:jc w:val="both"/>
      </w:pPr>
      <w:r>
        <w:rPr>
          <w:rFonts w:ascii="Arial" w:cs="Arial" w:eastAsia="Arial" w:hAnsi="Arial"/>
          <w:sz w:val="20"/>
          <w:szCs w:val="20"/>
        </w:rPr>
        <w:t xml:space="preserve">При осуществлении интеграции немаловажно проработать вопросы сотрудничества указанных государств по вопросам надзора за деятельностью профессиональных участников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5. Финансирование Программы</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Программы требует значительного финансового обеспечения. Финансирование мероприятий Программы должно осуществляться за счет средств республиканского бюджета, грантов международных организаций и других источников.</w:t>
      </w:r>
    </w:p>
    <w:p>
      <w:pPr>
        <w:spacing w:after="120"/>
        <w:ind w:firstLine="567"/>
        <w:jc w:val="both"/>
      </w:pPr>
      <w:r>
        <w:rPr>
          <w:rFonts w:ascii="Arial" w:cs="Arial" w:eastAsia="Arial" w:hAnsi="Arial"/>
          <w:sz w:val="20"/>
          <w:szCs w:val="20"/>
        </w:rPr>
        <w:t xml:space="preserve">В 2003 году в республиканский бюджет поступили комиссионные сборы за регистрацию выпусков ценных бумаг в размере 0,5 процента от суммы выпуска в сумме 5,2 млн.сомов. В соответствии с постановлением Правительства Кыргызской Республики от 19 марта 2001 года N 108 "О Государственной комиссии при Правительстве Кыргызской Республики по рынку ценных бумаг" данные комиссионные сборы должны в полном объеме направляться на содержание Госкомценбумаг и развитие рынка ценных бумаг. За счет поступивших в 2003 году средств комиссионных сборов на указанные расходы профинансировано на сумму 4,8 млн.сомов. Положительную разницу между финансированием содержания Госкомценбумаг и поступающими в бюджет комиссионными сборами необходимо использовать на финансовое обеспечение мероприятий по реализации Программы.</w:t>
      </w:r>
    </w:p>
    <w:p>
      <w:pPr>
        <w:spacing w:after="120"/>
        <w:ind w:firstLine="567"/>
        <w:jc w:val="both"/>
      </w:pPr>
      <w:r>
        <w:rPr>
          <w:rFonts w:ascii="Arial" w:cs="Arial" w:eastAsia="Arial" w:hAnsi="Arial"/>
          <w:sz w:val="20"/>
          <w:szCs w:val="20"/>
        </w:rPr>
        <w:t xml:space="preserve">В целях осуществления мер по обеспечению выполнения предусмотренных в Программе действий важным направлением работ Госкомценбумаг должна стать работа по привлечению грантов международных организаций - USAID, TACIS, Азиатского банка развития и др.</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6. Матрица действий</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Реализация настоящей Программы должна быть осуществлена в среднесрочный период - три года, в соответствии с Матрицей действий, прилагаемой к настоящей Программе. Матрица действий предусматривает практические шаги в осуществлении задач, поставленных в Программе, сроки и формы реализации.</w:t>
      </w:r>
    </w:p>
    <w:p>
      <w:pPr>
        <w:spacing w:after="120"/>
        <w:ind w:firstLine="567"/>
        <w:jc w:val="both"/>
      </w:pPr>
      <w:r>
        <w:rPr>
          <w:rFonts w:ascii="Arial" w:cs="Arial" w:eastAsia="Arial" w:hAnsi="Arial"/>
          <w:sz w:val="20"/>
          <w:szCs w:val="20"/>
        </w:rPr>
        <w:t xml:space="preserve">Для исполнения мероприятий, предусмотренных в Матрице действий, необходимо вовлечь все заинтересованные стороны - министерства и ведомства, участников рынка, международные организации и др.</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Приложение</w:t>
      </w:r>
    </w:p>
    <w:p>
      <w:pPr>
        <w:spacing w:after="120"/>
        <w:ind w:firstLine="567"/>
        <w:jc w:val="left"/>
      </w:pPr>
      <w:r>
        <w:rPr>
          <w:rFonts w:ascii="Arial" w:cs="Arial" w:eastAsia="Arial" w:hAnsi="Arial"/>
          <w:sz w:val="24"/>
          <w:szCs w:val="24"/>
        </w:rPr>
        <w:t xml:space="preserve"/>
      </w:r>
    </w:p>
    <w:p>
      <w:pPr>
        <w:spacing w:after="120"/>
        <w:ind w:firstLine="567"/>
        <w:jc w:val="center"/>
      </w:pPr>
      <w:r>
        <w:rPr>
          <w:rFonts w:ascii="Arial" w:cs="Arial" w:eastAsia="Arial" w:hAnsi="Arial"/>
          <w:sz w:val="20"/>
          <w:szCs w:val="20"/>
        </w:rPr>
        <w:t xml:space="preserve">МАТРИЦА</w:t>
      </w:r>
    </w:p>
    <w:p>
      <w:pPr>
        <w:spacing w:after="120"/>
        <w:ind w:firstLine="567"/>
        <w:jc w:val="center"/>
      </w:pPr>
      <w:r>
        <w:rPr>
          <w:rFonts w:ascii="Arial" w:cs="Arial" w:eastAsia="Arial" w:hAnsi="Arial"/>
          <w:sz w:val="20"/>
          <w:szCs w:val="20"/>
        </w:rPr>
        <w:t xml:space="preserve">действий по реализации Комплексной программы</w:t>
      </w:r>
    </w:p>
    <w:p>
      <w:pPr>
        <w:spacing w:after="120"/>
        <w:ind w:firstLine="567"/>
        <w:jc w:val="center"/>
      </w:pPr>
      <w:r>
        <w:rPr>
          <w:rFonts w:ascii="Arial" w:cs="Arial" w:eastAsia="Arial" w:hAnsi="Arial"/>
          <w:sz w:val="20"/>
          <w:szCs w:val="20"/>
        </w:rPr>
        <w:t xml:space="preserve">развития рынка ценных бумаг в Кыргызской Республике</w:t>
      </w:r>
    </w:p>
    <w:p>
      <w:pPr>
        <w:spacing w:after="120"/>
        <w:ind w:firstLine="567"/>
        <w:jc w:val="center"/>
      </w:pPr>
      <w:r>
        <w:rPr>
          <w:rFonts w:ascii="Arial" w:cs="Arial" w:eastAsia="Arial" w:hAnsi="Arial"/>
          <w:sz w:val="20"/>
          <w:szCs w:val="20"/>
        </w:rPr>
        <w:t xml:space="preserve">на 2004-2006 годы</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│N │ Действия по реализации  │Сроки │ Исполнители  │ Форма реализации │</w:t>
      </w:r>
    </w:p>
    <w:p>
      <w:pPr>
        <w:spacing w:after="120"/>
        <w:ind w:firstLine="567"/>
        <w:jc w:val="left"/>
      </w:pPr>
      <w:r>
        <w:rPr>
          <w:rFonts w:ascii="Arial" w:cs="Arial" w:eastAsia="Arial" w:hAnsi="Arial"/>
          <w:sz w:val="20"/>
          <w:szCs w:val="20"/>
        </w:rPr>
        <w:t xml:space="preserve">│  │         Программы       │испол-│              │                  │</w:t>
      </w:r>
    </w:p>
    <w:p>
      <w:pPr>
        <w:spacing w:after="120"/>
        <w:ind w:firstLine="567"/>
        <w:jc w:val="left"/>
      </w:pPr>
      <w:r>
        <w:rPr>
          <w:rFonts w:ascii="Arial" w:cs="Arial" w:eastAsia="Arial" w:hAnsi="Arial"/>
          <w:sz w:val="20"/>
          <w:szCs w:val="20"/>
        </w:rPr>
        <w:t xml:space="preserve">│  │                         │нения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 │Разработка программы мер,│III   │Госкомценбумаг│Программа по      │</w:t>
      </w:r>
    </w:p>
    <w:p>
      <w:pPr>
        <w:spacing w:after="120"/>
        <w:ind w:firstLine="567"/>
        <w:jc w:val="left"/>
      </w:pPr>
      <w:r>
        <w:rPr>
          <w:rFonts w:ascii="Arial" w:cs="Arial" w:eastAsia="Arial" w:hAnsi="Arial"/>
          <w:sz w:val="20"/>
          <w:szCs w:val="20"/>
        </w:rPr>
        <w:t xml:space="preserve">│  │направленных на повышение│кв.   │              │обеспечению       │</w:t>
      </w:r>
    </w:p>
    <w:p>
      <w:pPr>
        <w:spacing w:after="120"/>
        <w:ind w:firstLine="567"/>
        <w:jc w:val="left"/>
      </w:pPr>
      <w:r>
        <w:rPr>
          <w:rFonts w:ascii="Arial" w:cs="Arial" w:eastAsia="Arial" w:hAnsi="Arial"/>
          <w:sz w:val="20"/>
          <w:szCs w:val="20"/>
        </w:rPr>
        <w:t xml:space="preserve">│  │стандартов раскрытия     │2004  │              │транспарентности  │</w:t>
      </w:r>
    </w:p>
    <w:p>
      <w:pPr>
        <w:spacing w:after="120"/>
        <w:ind w:firstLine="567"/>
        <w:jc w:val="left"/>
      </w:pPr>
      <w:r>
        <w:rPr>
          <w:rFonts w:ascii="Arial" w:cs="Arial" w:eastAsia="Arial" w:hAnsi="Arial"/>
          <w:sz w:val="20"/>
          <w:szCs w:val="20"/>
        </w:rPr>
        <w:t xml:space="preserve">│  │информации и             │года  │              │рынка ценных      │</w:t>
      </w:r>
    </w:p>
    <w:p>
      <w:pPr>
        <w:spacing w:after="120"/>
        <w:ind w:firstLine="567"/>
        <w:jc w:val="left"/>
      </w:pPr>
      <w:r>
        <w:rPr>
          <w:rFonts w:ascii="Arial" w:cs="Arial" w:eastAsia="Arial" w:hAnsi="Arial"/>
          <w:sz w:val="20"/>
          <w:szCs w:val="20"/>
        </w:rPr>
        <w:t xml:space="preserve">│  │информационной           │      │              │бумаг,            │</w:t>
      </w:r>
    </w:p>
    <w:p>
      <w:pPr>
        <w:spacing w:after="120"/>
        <w:ind w:firstLine="567"/>
        <w:jc w:val="left"/>
      </w:pPr>
      <w:r>
        <w:rPr>
          <w:rFonts w:ascii="Arial" w:cs="Arial" w:eastAsia="Arial" w:hAnsi="Arial"/>
          <w:sz w:val="20"/>
          <w:szCs w:val="20"/>
        </w:rPr>
        <w:t xml:space="preserve">│  │прозрачности рынка ценных│      │              │утвержденная      │</w:t>
      </w:r>
    </w:p>
    <w:p>
      <w:pPr>
        <w:spacing w:after="120"/>
        <w:ind w:firstLine="567"/>
        <w:jc w:val="left"/>
      </w:pPr>
      <w:r>
        <w:rPr>
          <w:rFonts w:ascii="Arial" w:cs="Arial" w:eastAsia="Arial" w:hAnsi="Arial"/>
          <w:sz w:val="20"/>
          <w:szCs w:val="20"/>
        </w:rPr>
        <w:t xml:space="preserve">│  │бумаг                    │      │              │Госкомценбумаг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12 ноября 2004 года N 66 "Об утверждении Программы по обеспечению транспарентности рынка ценных бумаг, направленной на повышение стандартов раскрытия информации и информационной прозрачности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 │Разработка ежеквартальной│IV кв.│Госкомиссия   │Ежеквартальная    │</w:t>
      </w:r>
    </w:p>
    <w:p>
      <w:pPr>
        <w:spacing w:after="120"/>
        <w:ind w:firstLine="567"/>
        <w:jc w:val="left"/>
      </w:pPr>
      <w:r>
        <w:rPr>
          <w:rFonts w:ascii="Arial" w:cs="Arial" w:eastAsia="Arial" w:hAnsi="Arial"/>
          <w:sz w:val="20"/>
          <w:szCs w:val="20"/>
        </w:rPr>
        <w:t xml:space="preserve">│  │финансовой отчетности в  │2004  │по стандартам │финансовая        │</w:t>
      </w:r>
    </w:p>
    <w:p>
      <w:pPr>
        <w:spacing w:after="120"/>
        <w:ind w:firstLine="567"/>
        <w:jc w:val="left"/>
      </w:pPr>
      <w:r>
        <w:rPr>
          <w:rFonts w:ascii="Arial" w:cs="Arial" w:eastAsia="Arial" w:hAnsi="Arial"/>
          <w:sz w:val="20"/>
          <w:szCs w:val="20"/>
        </w:rPr>
        <w:t xml:space="preserve">│  │соответствии с           │года  │финансовой    │отчетность в      │</w:t>
      </w:r>
    </w:p>
    <w:p>
      <w:pPr>
        <w:spacing w:after="120"/>
        <w:ind w:firstLine="567"/>
        <w:jc w:val="left"/>
      </w:pPr>
      <w:r>
        <w:rPr>
          <w:rFonts w:ascii="Arial" w:cs="Arial" w:eastAsia="Arial" w:hAnsi="Arial"/>
          <w:sz w:val="20"/>
          <w:szCs w:val="20"/>
        </w:rPr>
        <w:t xml:space="preserve">│  │международными           │      │отчетности и  │соответствии с    │</w:t>
      </w:r>
    </w:p>
    <w:p>
      <w:pPr>
        <w:spacing w:after="120"/>
        <w:ind w:firstLine="567"/>
        <w:jc w:val="left"/>
      </w:pPr>
      <w:r>
        <w:rPr>
          <w:rFonts w:ascii="Arial" w:cs="Arial" w:eastAsia="Arial" w:hAnsi="Arial"/>
          <w:sz w:val="20"/>
          <w:szCs w:val="20"/>
        </w:rPr>
        <w:t xml:space="preserve">│  │стандартами финансовой   │      │аудиту,       │международными    │</w:t>
      </w:r>
    </w:p>
    <w:p>
      <w:pPr>
        <w:spacing w:after="120"/>
        <w:ind w:firstLine="567"/>
        <w:jc w:val="left"/>
      </w:pPr>
      <w:r>
        <w:rPr>
          <w:rFonts w:ascii="Arial" w:cs="Arial" w:eastAsia="Arial" w:hAnsi="Arial"/>
          <w:sz w:val="20"/>
          <w:szCs w:val="20"/>
        </w:rPr>
        <w:t xml:space="preserve">│  │отчетности для публичных │      │Госкомценбумаг│стандартами       │</w:t>
      </w:r>
    </w:p>
    <w:p>
      <w:pPr>
        <w:spacing w:after="120"/>
        <w:ind w:firstLine="567"/>
        <w:jc w:val="left"/>
      </w:pPr>
      <w:r>
        <w:rPr>
          <w:rFonts w:ascii="Arial" w:cs="Arial" w:eastAsia="Arial" w:hAnsi="Arial"/>
          <w:sz w:val="20"/>
          <w:szCs w:val="20"/>
        </w:rPr>
        <w:t xml:space="preserve">│  │эмитентов ценных бумаг   │      │              │финансовой        │</w:t>
      </w:r>
    </w:p>
    <w:p>
      <w:pPr>
        <w:spacing w:after="120"/>
        <w:ind w:firstLine="567"/>
        <w:jc w:val="left"/>
      </w:pPr>
      <w:r>
        <w:rPr>
          <w:rFonts w:ascii="Arial" w:cs="Arial" w:eastAsia="Arial" w:hAnsi="Arial"/>
          <w:sz w:val="20"/>
          <w:szCs w:val="20"/>
        </w:rPr>
        <w:t xml:space="preserve">│  │                         │      │              │отчетности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│3 │Создание                 │2006  │Госкомценбу-  │Автоматизированный│</w:t>
      </w:r>
    </w:p>
    <w:p>
      <w:pPr>
        <w:spacing w:after="120"/>
        <w:ind w:firstLine="567"/>
        <w:jc w:val="left"/>
      </w:pPr>
      <w:r>
        <w:rPr>
          <w:rFonts w:ascii="Arial" w:cs="Arial" w:eastAsia="Arial" w:hAnsi="Arial"/>
          <w:sz w:val="20"/>
          <w:szCs w:val="20"/>
        </w:rPr>
        <w:t xml:space="preserve">│  │автоматизированного      │год   │маг, Центр по │центр раскрытия   │</w:t>
      </w:r>
    </w:p>
    <w:p>
      <w:pPr>
        <w:spacing w:after="120"/>
        <w:ind w:firstLine="567"/>
        <w:jc w:val="left"/>
      </w:pPr>
      <w:r>
        <w:rPr>
          <w:rFonts w:ascii="Arial" w:cs="Arial" w:eastAsia="Arial" w:hAnsi="Arial"/>
          <w:sz w:val="20"/>
          <w:szCs w:val="20"/>
        </w:rPr>
        <w:t xml:space="preserve">│  │центра раскрытия         │      │корпоративному│информации        │</w:t>
      </w:r>
    </w:p>
    <w:p>
      <w:pPr>
        <w:spacing w:after="120"/>
        <w:ind w:firstLine="567"/>
        <w:jc w:val="left"/>
      </w:pPr>
      <w:r>
        <w:rPr>
          <w:rFonts w:ascii="Arial" w:cs="Arial" w:eastAsia="Arial" w:hAnsi="Arial"/>
          <w:sz w:val="20"/>
          <w:szCs w:val="20"/>
        </w:rPr>
        <w:t xml:space="preserve">│  │информации               │      │развитию при  │                  │</w:t>
      </w:r>
    </w:p>
    <w:p>
      <w:pPr>
        <w:spacing w:after="120"/>
        <w:ind w:firstLine="567"/>
        <w:jc w:val="left"/>
      </w:pPr>
      <w:r>
        <w:rPr>
          <w:rFonts w:ascii="Arial" w:cs="Arial" w:eastAsia="Arial" w:hAnsi="Arial"/>
          <w:sz w:val="20"/>
          <w:szCs w:val="20"/>
        </w:rPr>
        <w:t xml:space="preserve">│  │                         │      │Минэкономпром-│                  │</w:t>
      </w:r>
    </w:p>
    <w:p>
      <w:pPr>
        <w:spacing w:after="120"/>
        <w:ind w:firstLine="567"/>
        <w:jc w:val="left"/>
      </w:pPr>
      <w:r>
        <w:rPr>
          <w:rFonts w:ascii="Arial" w:cs="Arial" w:eastAsia="Arial" w:hAnsi="Arial"/>
          <w:sz w:val="20"/>
          <w:szCs w:val="20"/>
        </w:rPr>
        <w:t xml:space="preserve">│  │                         │      │торг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│4 │Разработка нормативных   │IV кв.│Госкомценбумаг│Нормативные       │</w:t>
      </w:r>
    </w:p>
    <w:p>
      <w:pPr>
        <w:spacing w:after="120"/>
        <w:ind w:firstLine="567"/>
        <w:jc w:val="left"/>
      </w:pPr>
      <w:r>
        <w:rPr>
          <w:rFonts w:ascii="Arial" w:cs="Arial" w:eastAsia="Arial" w:hAnsi="Arial"/>
          <w:sz w:val="20"/>
          <w:szCs w:val="20"/>
        </w:rPr>
        <w:t xml:space="preserve">│  │правовых актов, внесение │2004  │              │правовые акты,    │</w:t>
      </w:r>
    </w:p>
    <w:p>
      <w:pPr>
        <w:spacing w:after="120"/>
        <w:ind w:firstLine="567"/>
        <w:jc w:val="left"/>
      </w:pPr>
      <w:r>
        <w:rPr>
          <w:rFonts w:ascii="Arial" w:cs="Arial" w:eastAsia="Arial" w:hAnsi="Arial"/>
          <w:sz w:val="20"/>
          <w:szCs w:val="20"/>
        </w:rPr>
        <w:t xml:space="preserve">│  │изменений и дополнений   │года  │              │внесение поправок │</w:t>
      </w:r>
    </w:p>
    <w:p>
      <w:pPr>
        <w:spacing w:after="120"/>
        <w:ind w:firstLine="567"/>
        <w:jc w:val="left"/>
      </w:pPr>
      <w:r>
        <w:rPr>
          <w:rFonts w:ascii="Arial" w:cs="Arial" w:eastAsia="Arial" w:hAnsi="Arial"/>
          <w:sz w:val="20"/>
          <w:szCs w:val="20"/>
        </w:rPr>
        <w:t xml:space="preserve">│  │в действующие нормативные│      │              │в действующие     │</w:t>
      </w:r>
    </w:p>
    <w:p>
      <w:pPr>
        <w:spacing w:after="120"/>
        <w:ind w:firstLine="567"/>
        <w:jc w:val="left"/>
      </w:pPr>
      <w:r>
        <w:rPr>
          <w:rFonts w:ascii="Arial" w:cs="Arial" w:eastAsia="Arial" w:hAnsi="Arial"/>
          <w:sz w:val="20"/>
          <w:szCs w:val="20"/>
        </w:rPr>
        <w:t xml:space="preserve">│  │правовые акты по         │      │              │нормативные       │</w:t>
      </w:r>
    </w:p>
    <w:p>
      <w:pPr>
        <w:spacing w:after="120"/>
        <w:ind w:firstLine="567"/>
        <w:jc w:val="left"/>
      </w:pPr>
      <w:r>
        <w:rPr>
          <w:rFonts w:ascii="Arial" w:cs="Arial" w:eastAsia="Arial" w:hAnsi="Arial"/>
          <w:sz w:val="20"/>
          <w:szCs w:val="20"/>
        </w:rPr>
        <w:t xml:space="preserve">│  │разграничению эмитентов  │      │              │правовые акты по  │</w:t>
      </w:r>
    </w:p>
    <w:p>
      <w:pPr>
        <w:spacing w:after="120"/>
        <w:ind w:firstLine="567"/>
        <w:jc w:val="left"/>
      </w:pPr>
      <w:r>
        <w:rPr>
          <w:rFonts w:ascii="Arial" w:cs="Arial" w:eastAsia="Arial" w:hAnsi="Arial"/>
          <w:sz w:val="20"/>
          <w:szCs w:val="20"/>
        </w:rPr>
        <w:t xml:space="preserve">│  │на публичные и           │      │              │разграничению     │</w:t>
      </w:r>
    </w:p>
    <w:p>
      <w:pPr>
        <w:spacing w:after="120"/>
        <w:ind w:firstLine="567"/>
        <w:jc w:val="left"/>
      </w:pPr>
      <w:r>
        <w:rPr>
          <w:rFonts w:ascii="Arial" w:cs="Arial" w:eastAsia="Arial" w:hAnsi="Arial"/>
          <w:sz w:val="20"/>
          <w:szCs w:val="20"/>
        </w:rPr>
        <w:t xml:space="preserve">│  │непубличные эмитенты     │      │              │эмитентов на      │</w:t>
      </w:r>
    </w:p>
    <w:p>
      <w:pPr>
        <w:spacing w:after="120"/>
        <w:ind w:firstLine="567"/>
        <w:jc w:val="left"/>
      </w:pPr>
      <w:r>
        <w:rPr>
          <w:rFonts w:ascii="Arial" w:cs="Arial" w:eastAsia="Arial" w:hAnsi="Arial"/>
          <w:sz w:val="20"/>
          <w:szCs w:val="20"/>
        </w:rPr>
        <w:t xml:space="preserve">│  │                         │      │              │публичные и       │</w:t>
      </w:r>
    </w:p>
    <w:p>
      <w:pPr>
        <w:spacing w:after="120"/>
        <w:ind w:firstLine="567"/>
        <w:jc w:val="left"/>
      </w:pPr>
      <w:r>
        <w:rPr>
          <w:rFonts w:ascii="Arial" w:cs="Arial" w:eastAsia="Arial" w:hAnsi="Arial"/>
          <w:sz w:val="20"/>
          <w:szCs w:val="20"/>
        </w:rPr>
        <w:t xml:space="preserve">│  │                         │      │              │непубличные       │</w:t>
      </w:r>
    </w:p>
    <w:p>
      <w:pPr>
        <w:spacing w:after="120"/>
        <w:ind w:firstLine="567"/>
        <w:jc w:val="left"/>
      </w:pPr>
      <w:r>
        <w:rPr>
          <w:rFonts w:ascii="Arial" w:cs="Arial" w:eastAsia="Arial" w:hAnsi="Arial"/>
          <w:sz w:val="20"/>
          <w:szCs w:val="20"/>
        </w:rPr>
        <w:t xml:space="preserve">│  │                         │      │              │эмитенты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│5 │Установление требований  │IV кв.│Госкомиссия   │Внесение изменений│</w:t>
      </w:r>
    </w:p>
    <w:p>
      <w:pPr>
        <w:spacing w:after="120"/>
        <w:ind w:firstLine="567"/>
        <w:jc w:val="left"/>
      </w:pPr>
      <w:r>
        <w:rPr>
          <w:rFonts w:ascii="Arial" w:cs="Arial" w:eastAsia="Arial" w:hAnsi="Arial"/>
          <w:sz w:val="20"/>
          <w:szCs w:val="20"/>
        </w:rPr>
        <w:t xml:space="preserve">│  │к аудиту публичных       │2004  │по стандартам │и дополнений в    │</w:t>
      </w:r>
    </w:p>
    <w:p>
      <w:pPr>
        <w:spacing w:after="120"/>
        <w:ind w:firstLine="567"/>
        <w:jc w:val="left"/>
      </w:pPr>
      <w:r>
        <w:rPr>
          <w:rFonts w:ascii="Arial" w:cs="Arial" w:eastAsia="Arial" w:hAnsi="Arial"/>
          <w:sz w:val="20"/>
          <w:szCs w:val="20"/>
        </w:rPr>
        <w:t xml:space="preserve">│  │эмитентов                │года  │финансовой    │законодательство  │</w:t>
      </w:r>
    </w:p>
    <w:p>
      <w:pPr>
        <w:spacing w:after="120"/>
        <w:ind w:firstLine="567"/>
        <w:jc w:val="left"/>
      </w:pPr>
      <w:r>
        <w:rPr>
          <w:rFonts w:ascii="Arial" w:cs="Arial" w:eastAsia="Arial" w:hAnsi="Arial"/>
          <w:sz w:val="20"/>
          <w:szCs w:val="20"/>
        </w:rPr>
        <w:t xml:space="preserve">│  │                         │      │отчетности и  │Кыргызской        │</w:t>
      </w:r>
    </w:p>
    <w:p>
      <w:pPr>
        <w:spacing w:after="120"/>
        <w:ind w:firstLine="567"/>
        <w:jc w:val="left"/>
      </w:pPr>
      <w:r>
        <w:rPr>
          <w:rFonts w:ascii="Arial" w:cs="Arial" w:eastAsia="Arial" w:hAnsi="Arial"/>
          <w:sz w:val="20"/>
          <w:szCs w:val="20"/>
        </w:rPr>
        <w:t xml:space="preserve">│  │                         │      │аудиту,       │Республики об     │</w:t>
      </w:r>
    </w:p>
    <w:p>
      <w:pPr>
        <w:spacing w:after="120"/>
        <w:ind w:firstLine="567"/>
        <w:jc w:val="left"/>
      </w:pPr>
      <w:r>
        <w:rPr>
          <w:rFonts w:ascii="Arial" w:cs="Arial" w:eastAsia="Arial" w:hAnsi="Arial"/>
          <w:sz w:val="20"/>
          <w:szCs w:val="20"/>
        </w:rPr>
        <w:t xml:space="preserve">│  │                         │      │Госкомценбу-  │аудиторской       │</w:t>
      </w:r>
    </w:p>
    <w:p>
      <w:pPr>
        <w:spacing w:after="120"/>
        <w:ind w:firstLine="567"/>
        <w:jc w:val="left"/>
      </w:pPr>
      <w:r>
        <w:rPr>
          <w:rFonts w:ascii="Arial" w:cs="Arial" w:eastAsia="Arial" w:hAnsi="Arial"/>
          <w:sz w:val="20"/>
          <w:szCs w:val="20"/>
        </w:rPr>
        <w:t xml:space="preserve">│  │                         │      │маг, Нацбанк  │деятельности      │</w:t>
      </w:r>
    </w:p>
    <w:p>
      <w:pPr>
        <w:spacing w:after="120"/>
        <w:ind w:firstLine="567"/>
        <w:jc w:val="left"/>
      </w:pPr>
      <w:r>
        <w:rPr>
          <w:rFonts w:ascii="Arial" w:cs="Arial" w:eastAsia="Arial" w:hAnsi="Arial"/>
          <w:sz w:val="20"/>
          <w:szCs w:val="20"/>
        </w:rPr>
        <w:t xml:space="preserve">│  │                         │      │(по           │                  │</w:t>
      </w:r>
    </w:p>
    <w:p>
      <w:pPr>
        <w:spacing w:after="120"/>
        <w:ind w:firstLine="567"/>
        <w:jc w:val="left"/>
      </w:pPr>
      <w:r>
        <w:rPr>
          <w:rFonts w:ascii="Arial" w:cs="Arial" w:eastAsia="Arial" w:hAnsi="Arial"/>
          <w:sz w:val="20"/>
          <w:szCs w:val="20"/>
        </w:rPr>
        <w:t xml:space="preserve">│  │                         │      │согласованию)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│6 │Пересмотр требований к   │Поэ-  │Госкомценбумаг│Внесение изменений│</w:t>
      </w:r>
    </w:p>
    <w:p>
      <w:pPr>
        <w:spacing w:after="120"/>
        <w:ind w:firstLine="567"/>
        <w:jc w:val="left"/>
      </w:pPr>
      <w:r>
        <w:rPr>
          <w:rFonts w:ascii="Arial" w:cs="Arial" w:eastAsia="Arial" w:hAnsi="Arial"/>
          <w:sz w:val="20"/>
          <w:szCs w:val="20"/>
        </w:rPr>
        <w:t xml:space="preserve">│  │минимальным размерам     │тапно │              │в нормативный     │</w:t>
      </w:r>
    </w:p>
    <w:p>
      <w:pPr>
        <w:spacing w:after="120"/>
        <w:ind w:firstLine="567"/>
        <w:jc w:val="left"/>
      </w:pPr>
      <w:r>
        <w:rPr>
          <w:rFonts w:ascii="Arial" w:cs="Arial" w:eastAsia="Arial" w:hAnsi="Arial"/>
          <w:sz w:val="20"/>
          <w:szCs w:val="20"/>
        </w:rPr>
        <w:t xml:space="preserve">│  │собственных средств      │2004- │              │правовой акт,     │</w:t>
      </w:r>
    </w:p>
    <w:p>
      <w:pPr>
        <w:spacing w:after="120"/>
        <w:ind w:firstLine="567"/>
        <w:jc w:val="left"/>
      </w:pPr>
      <w:r>
        <w:rPr>
          <w:rFonts w:ascii="Arial" w:cs="Arial" w:eastAsia="Arial" w:hAnsi="Arial"/>
          <w:sz w:val="20"/>
          <w:szCs w:val="20"/>
        </w:rPr>
        <w:t xml:space="preserve">│  │регистраторов            │2006  │              │устанавливающий   │</w:t>
      </w:r>
    </w:p>
    <w:p>
      <w:pPr>
        <w:spacing w:after="120"/>
        <w:ind w:firstLine="567"/>
        <w:jc w:val="left"/>
      </w:pPr>
      <w:r>
        <w:rPr>
          <w:rFonts w:ascii="Arial" w:cs="Arial" w:eastAsia="Arial" w:hAnsi="Arial"/>
          <w:sz w:val="20"/>
          <w:szCs w:val="20"/>
        </w:rPr>
        <w:t xml:space="preserve">│  │                         │годы  │              │нормативы по      │</w:t>
      </w:r>
    </w:p>
    <w:p>
      <w:pPr>
        <w:spacing w:after="120"/>
        <w:ind w:firstLine="567"/>
        <w:jc w:val="left"/>
      </w:pPr>
      <w:r>
        <w:rPr>
          <w:rFonts w:ascii="Arial" w:cs="Arial" w:eastAsia="Arial" w:hAnsi="Arial"/>
          <w:sz w:val="20"/>
          <w:szCs w:val="20"/>
        </w:rPr>
        <w:t xml:space="preserve">│  │                         │      │              │размеру           │</w:t>
      </w:r>
    </w:p>
    <w:p>
      <w:pPr>
        <w:spacing w:after="120"/>
        <w:ind w:firstLine="567"/>
        <w:jc w:val="left"/>
      </w:pPr>
      <w:r>
        <w:rPr>
          <w:rFonts w:ascii="Arial" w:cs="Arial" w:eastAsia="Arial" w:hAnsi="Arial"/>
          <w:sz w:val="20"/>
          <w:szCs w:val="20"/>
        </w:rPr>
        <w:t xml:space="preserve">│  │                         │      │              │собственных       │</w:t>
      </w:r>
    </w:p>
    <w:p>
      <w:pPr>
        <w:spacing w:after="120"/>
        <w:ind w:firstLine="567"/>
        <w:jc w:val="left"/>
      </w:pPr>
      <w:r>
        <w:rPr>
          <w:rFonts w:ascii="Arial" w:cs="Arial" w:eastAsia="Arial" w:hAnsi="Arial"/>
          <w:sz w:val="20"/>
          <w:szCs w:val="20"/>
        </w:rPr>
        <w:t xml:space="preserve">│  │                         │      │              │средств           │</w:t>
      </w:r>
    </w:p>
    <w:p>
      <w:pPr>
        <w:spacing w:after="120"/>
        <w:ind w:firstLine="567"/>
        <w:jc w:val="left"/>
      </w:pPr>
      <w:r>
        <w:rPr>
          <w:rFonts w:ascii="Arial" w:cs="Arial" w:eastAsia="Arial" w:hAnsi="Arial"/>
          <w:sz w:val="20"/>
          <w:szCs w:val="20"/>
        </w:rPr>
        <w:t xml:space="preserve">│  │                         │      │              │профессиональных  │</w:t>
      </w:r>
    </w:p>
    <w:p>
      <w:pPr>
        <w:spacing w:after="120"/>
        <w:ind w:firstLine="567"/>
        <w:jc w:val="left"/>
      </w:pPr>
      <w:r>
        <w:rPr>
          <w:rFonts w:ascii="Arial" w:cs="Arial" w:eastAsia="Arial" w:hAnsi="Arial"/>
          <w:sz w:val="20"/>
          <w:szCs w:val="20"/>
        </w:rPr>
        <w:t xml:space="preserve">│  │                         │      │              │участников        │</w:t>
      </w:r>
    </w:p>
    <w:p>
      <w:pPr>
        <w:spacing w:after="120"/>
        <w:ind w:firstLine="567"/>
        <w:jc w:val="left"/>
      </w:pPr>
      <w:r>
        <w:rPr>
          <w:rFonts w:ascii="Arial" w:cs="Arial" w:eastAsia="Arial" w:hAnsi="Arial"/>
          <w:sz w:val="20"/>
          <w:szCs w:val="20"/>
        </w:rPr>
        <w:t xml:space="preserve">│  │                         │      │              │рынка ценных бумаг│</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│7 │Проработка вопроса об    │IV кв.│Госкомценбумаг│Внесение изменений│</w:t>
      </w:r>
    </w:p>
    <w:p>
      <w:pPr>
        <w:spacing w:after="120"/>
        <w:ind w:firstLine="567"/>
        <w:jc w:val="left"/>
      </w:pPr>
      <w:r>
        <w:rPr>
          <w:rFonts w:ascii="Arial" w:cs="Arial" w:eastAsia="Arial" w:hAnsi="Arial"/>
          <w:sz w:val="20"/>
          <w:szCs w:val="20"/>
        </w:rPr>
        <w:t xml:space="preserve">│  │установлении требований  │2004  │              │и дополнений в    │</w:t>
      </w:r>
    </w:p>
    <w:p>
      <w:pPr>
        <w:spacing w:after="120"/>
        <w:ind w:firstLine="567"/>
        <w:jc w:val="left"/>
      </w:pPr>
      <w:r>
        <w:rPr>
          <w:rFonts w:ascii="Arial" w:cs="Arial" w:eastAsia="Arial" w:hAnsi="Arial"/>
          <w:sz w:val="20"/>
          <w:szCs w:val="20"/>
        </w:rPr>
        <w:t xml:space="preserve">│  │к регистраторам по       │года  │              │нормативные       │</w:t>
      </w:r>
    </w:p>
    <w:p>
      <w:pPr>
        <w:spacing w:after="120"/>
        <w:ind w:firstLine="567"/>
        <w:jc w:val="left"/>
      </w:pPr>
      <w:r>
        <w:rPr>
          <w:rFonts w:ascii="Arial" w:cs="Arial" w:eastAsia="Arial" w:hAnsi="Arial"/>
          <w:sz w:val="20"/>
          <w:szCs w:val="20"/>
        </w:rPr>
        <w:t xml:space="preserve">│  │обязательному            │      │              │правовые акты,    │</w:t>
      </w:r>
    </w:p>
    <w:p>
      <w:pPr>
        <w:spacing w:after="120"/>
        <w:ind w:firstLine="567"/>
        <w:jc w:val="left"/>
      </w:pPr>
      <w:r>
        <w:rPr>
          <w:rFonts w:ascii="Arial" w:cs="Arial" w:eastAsia="Arial" w:hAnsi="Arial"/>
          <w:sz w:val="20"/>
          <w:szCs w:val="20"/>
        </w:rPr>
        <w:t xml:space="preserve">│  │дублированию информации  │      │              │регулирующие      │</w:t>
      </w:r>
    </w:p>
    <w:p>
      <w:pPr>
        <w:spacing w:after="120"/>
        <w:ind w:firstLine="567"/>
        <w:jc w:val="left"/>
      </w:pPr>
      <w:r>
        <w:rPr>
          <w:rFonts w:ascii="Arial" w:cs="Arial" w:eastAsia="Arial" w:hAnsi="Arial"/>
          <w:sz w:val="20"/>
          <w:szCs w:val="20"/>
        </w:rPr>
        <w:t xml:space="preserve">│  │о правах на ценные бумаги│      │              │деятельность      │</w:t>
      </w:r>
    </w:p>
    <w:p>
      <w:pPr>
        <w:spacing w:after="120"/>
        <w:ind w:firstLine="567"/>
        <w:jc w:val="left"/>
      </w:pPr>
      <w:r>
        <w:rPr>
          <w:rFonts w:ascii="Arial" w:cs="Arial" w:eastAsia="Arial" w:hAnsi="Arial"/>
          <w:sz w:val="20"/>
          <w:szCs w:val="20"/>
        </w:rPr>
        <w:t xml:space="preserve">│  │                         │      │              │регистраторов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│8 │Проработка вопроса о     │IV кв.│Госкомценбу-  │Внесение изменений│</w:t>
      </w:r>
    </w:p>
    <w:p>
      <w:pPr>
        <w:spacing w:after="120"/>
        <w:ind w:firstLine="567"/>
        <w:jc w:val="left"/>
      </w:pPr>
      <w:r>
        <w:rPr>
          <w:rFonts w:ascii="Arial" w:cs="Arial" w:eastAsia="Arial" w:hAnsi="Arial"/>
          <w:sz w:val="20"/>
          <w:szCs w:val="20"/>
        </w:rPr>
        <w:t xml:space="preserve">│  │введении обязательного   │2006  │маг, Минфин   │и дополнений в    │</w:t>
      </w:r>
    </w:p>
    <w:p>
      <w:pPr>
        <w:spacing w:after="120"/>
        <w:ind w:firstLine="567"/>
        <w:jc w:val="left"/>
      </w:pPr>
      <w:r>
        <w:rPr>
          <w:rFonts w:ascii="Arial" w:cs="Arial" w:eastAsia="Arial" w:hAnsi="Arial"/>
          <w:sz w:val="20"/>
          <w:szCs w:val="20"/>
        </w:rPr>
        <w:t xml:space="preserve">│  │страхования рисков       │года  │              │нормативные       │</w:t>
      </w:r>
    </w:p>
    <w:p>
      <w:pPr>
        <w:spacing w:after="120"/>
        <w:ind w:firstLine="567"/>
        <w:jc w:val="left"/>
      </w:pPr>
      <w:r>
        <w:rPr>
          <w:rFonts w:ascii="Arial" w:cs="Arial" w:eastAsia="Arial" w:hAnsi="Arial"/>
          <w:sz w:val="20"/>
          <w:szCs w:val="20"/>
        </w:rPr>
        <w:t xml:space="preserve">│  │осуществления            │      │              │правовые акты,    │</w:t>
      </w:r>
    </w:p>
    <w:p>
      <w:pPr>
        <w:spacing w:after="120"/>
        <w:ind w:firstLine="567"/>
        <w:jc w:val="left"/>
      </w:pPr>
      <w:r>
        <w:rPr>
          <w:rFonts w:ascii="Arial" w:cs="Arial" w:eastAsia="Arial" w:hAnsi="Arial"/>
          <w:sz w:val="20"/>
          <w:szCs w:val="20"/>
        </w:rPr>
        <w:t xml:space="preserve">│  │профессиональной         │      │              │регулирующие      │</w:t>
      </w:r>
    </w:p>
    <w:p>
      <w:pPr>
        <w:spacing w:after="120"/>
        <w:ind w:firstLine="567"/>
        <w:jc w:val="left"/>
      </w:pPr>
      <w:r>
        <w:rPr>
          <w:rFonts w:ascii="Arial" w:cs="Arial" w:eastAsia="Arial" w:hAnsi="Arial"/>
          <w:sz w:val="20"/>
          <w:szCs w:val="20"/>
        </w:rPr>
        <w:t xml:space="preserve">│  │деятельности по ведению  │      │              │деятельность      │</w:t>
      </w:r>
    </w:p>
    <w:p>
      <w:pPr>
        <w:spacing w:after="120"/>
        <w:ind w:firstLine="567"/>
        <w:jc w:val="left"/>
      </w:pPr>
      <w:r>
        <w:rPr>
          <w:rFonts w:ascii="Arial" w:cs="Arial" w:eastAsia="Arial" w:hAnsi="Arial"/>
          <w:sz w:val="20"/>
          <w:szCs w:val="20"/>
        </w:rPr>
        <w:t xml:space="preserve">│  │реестров владельцев      │      │              │регистраторов     │</w:t>
      </w:r>
    </w:p>
    <w:p>
      <w:pPr>
        <w:spacing w:after="120"/>
        <w:ind w:firstLine="567"/>
        <w:jc w:val="left"/>
      </w:pPr>
      <w:r>
        <w:rPr>
          <w:rFonts w:ascii="Arial" w:cs="Arial" w:eastAsia="Arial" w:hAnsi="Arial"/>
          <w:sz w:val="20"/>
          <w:szCs w:val="20"/>
        </w:rPr>
        <w:t xml:space="preserve">│  │ценных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│9 │Совершенствование        │2004- │Госкомценбу-  │Внесение изменений│</w:t>
      </w:r>
    </w:p>
    <w:p>
      <w:pPr>
        <w:spacing w:after="120"/>
        <w:ind w:firstLine="567"/>
        <w:jc w:val="left"/>
      </w:pPr>
      <w:r>
        <w:rPr>
          <w:rFonts w:ascii="Arial" w:cs="Arial" w:eastAsia="Arial" w:hAnsi="Arial"/>
          <w:sz w:val="20"/>
          <w:szCs w:val="20"/>
        </w:rPr>
        <w:t xml:space="preserve">│  │нормативных правовых     │2005  │маг, Минфин,  │и дополнений в    │</w:t>
      </w:r>
    </w:p>
    <w:p>
      <w:pPr>
        <w:spacing w:after="120"/>
        <w:ind w:firstLine="567"/>
        <w:jc w:val="left"/>
      </w:pPr>
      <w:r>
        <w:rPr>
          <w:rFonts w:ascii="Arial" w:cs="Arial" w:eastAsia="Arial" w:hAnsi="Arial"/>
          <w:sz w:val="20"/>
          <w:szCs w:val="20"/>
        </w:rPr>
        <w:t xml:space="preserve">│  │актов, регулирующих      │годы  │Нацбанк (по   │нормативные       │</w:t>
      </w:r>
    </w:p>
    <w:p>
      <w:pPr>
        <w:spacing w:after="120"/>
        <w:ind w:firstLine="567"/>
        <w:jc w:val="left"/>
      </w:pPr>
      <w:r>
        <w:rPr>
          <w:rFonts w:ascii="Arial" w:cs="Arial" w:eastAsia="Arial" w:hAnsi="Arial"/>
          <w:sz w:val="20"/>
          <w:szCs w:val="20"/>
        </w:rPr>
        <w:t xml:space="preserve">│  │обращение всех ценных    │      │согласованию) │правовые акты,    │</w:t>
      </w:r>
    </w:p>
    <w:p>
      <w:pPr>
        <w:spacing w:after="120"/>
        <w:ind w:firstLine="567"/>
        <w:jc w:val="left"/>
      </w:pPr>
      <w:r>
        <w:rPr>
          <w:rFonts w:ascii="Arial" w:cs="Arial" w:eastAsia="Arial" w:hAnsi="Arial"/>
          <w:sz w:val="20"/>
          <w:szCs w:val="20"/>
        </w:rPr>
        <w:t xml:space="preserve">│  │бумаг                    │      │              │регулирующие      │</w:t>
      </w:r>
    </w:p>
    <w:p>
      <w:pPr>
        <w:spacing w:after="120"/>
        <w:ind w:firstLine="567"/>
        <w:jc w:val="left"/>
      </w:pPr>
      <w:r>
        <w:rPr>
          <w:rFonts w:ascii="Arial" w:cs="Arial" w:eastAsia="Arial" w:hAnsi="Arial"/>
          <w:sz w:val="20"/>
          <w:szCs w:val="20"/>
        </w:rPr>
        <w:t xml:space="preserve">│  │                         │      │              │обращение ценных  │</w:t>
      </w:r>
    </w:p>
    <w:p>
      <w:pPr>
        <w:spacing w:after="120"/>
        <w:ind w:firstLine="567"/>
        <w:jc w:val="left"/>
      </w:pPr>
      <w:r>
        <w:rPr>
          <w:rFonts w:ascii="Arial" w:cs="Arial" w:eastAsia="Arial" w:hAnsi="Arial"/>
          <w:sz w:val="20"/>
          <w:szCs w:val="20"/>
        </w:rPr>
        <w:t xml:space="preserve">│  │                         │      │              │бумаг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24 августа 2005 года N 25 "О внесении изменений и дополнений в Положение о ведении реестра держателей именных ценных бумаг в Кыргызской Республике, утвержденное постановлением Государственной комиссии при Правительстве Кыргызской Республики по рынку ценных бумаг от 11 мая 2004 года N 38"</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│10│Осуществление работы по  │IV кв.│Минфин,       │Осуществление     │</w:t>
      </w:r>
    </w:p>
    <w:p>
      <w:pPr>
        <w:spacing w:after="120"/>
        <w:ind w:firstLine="567"/>
        <w:jc w:val="left"/>
      </w:pPr>
      <w:r>
        <w:rPr>
          <w:rFonts w:ascii="Arial" w:cs="Arial" w:eastAsia="Arial" w:hAnsi="Arial"/>
          <w:sz w:val="20"/>
          <w:szCs w:val="20"/>
        </w:rPr>
        <w:t xml:space="preserve">│  │реализации пилотного     │2004  │Госкомценбумаг│практических      │</w:t>
      </w:r>
    </w:p>
    <w:p>
      <w:pPr>
        <w:spacing w:after="120"/>
        <w:ind w:firstLine="567"/>
        <w:jc w:val="left"/>
      </w:pPr>
      <w:r>
        <w:rPr>
          <w:rFonts w:ascii="Arial" w:cs="Arial" w:eastAsia="Arial" w:hAnsi="Arial"/>
          <w:sz w:val="20"/>
          <w:szCs w:val="20"/>
        </w:rPr>
        <w:t xml:space="preserve">│  │проекта обращения        │года  │              │действий,         │</w:t>
      </w:r>
    </w:p>
    <w:p>
      <w:pPr>
        <w:spacing w:after="120"/>
        <w:ind w:firstLine="567"/>
        <w:jc w:val="left"/>
      </w:pPr>
      <w:r>
        <w:rPr>
          <w:rFonts w:ascii="Arial" w:cs="Arial" w:eastAsia="Arial" w:hAnsi="Arial"/>
          <w:sz w:val="20"/>
          <w:szCs w:val="20"/>
        </w:rPr>
        <w:t xml:space="preserve">│  │государственных ценных   │      │              │предусмотренных   │</w:t>
      </w:r>
    </w:p>
    <w:p>
      <w:pPr>
        <w:spacing w:after="120"/>
        <w:ind w:firstLine="567"/>
        <w:jc w:val="left"/>
      </w:pPr>
      <w:r>
        <w:rPr>
          <w:rFonts w:ascii="Arial" w:cs="Arial" w:eastAsia="Arial" w:hAnsi="Arial"/>
          <w:sz w:val="20"/>
          <w:szCs w:val="20"/>
        </w:rPr>
        <w:t xml:space="preserve">│  │бумаг через организаторов│      │              │пилотным проектом │</w:t>
      </w:r>
    </w:p>
    <w:p>
      <w:pPr>
        <w:spacing w:after="120"/>
        <w:ind w:firstLine="567"/>
        <w:jc w:val="left"/>
      </w:pPr>
      <w:r>
        <w:rPr>
          <w:rFonts w:ascii="Arial" w:cs="Arial" w:eastAsia="Arial" w:hAnsi="Arial"/>
          <w:sz w:val="20"/>
          <w:szCs w:val="20"/>
        </w:rPr>
        <w:t xml:space="preserve">│  │торговли на рынке ценных │      │              │                  │</w:t>
      </w:r>
    </w:p>
    <w:p>
      <w:pPr>
        <w:spacing w:after="120"/>
        <w:ind w:firstLine="567"/>
        <w:jc w:val="left"/>
      </w:pPr>
      <w:r>
        <w:rPr>
          <w:rFonts w:ascii="Arial" w:cs="Arial" w:eastAsia="Arial" w:hAnsi="Arial"/>
          <w:sz w:val="20"/>
          <w:szCs w:val="20"/>
        </w:rPr>
        <w:t xml:space="preserve">│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│11│Разработка Программы     │IV кв.│Госкомценбумаг│Программа развития│</w:t>
      </w:r>
    </w:p>
    <w:p>
      <w:pPr>
        <w:spacing w:after="120"/>
        <w:ind w:firstLine="567"/>
        <w:jc w:val="left"/>
      </w:pPr>
      <w:r>
        <w:rPr>
          <w:rFonts w:ascii="Arial" w:cs="Arial" w:eastAsia="Arial" w:hAnsi="Arial"/>
          <w:sz w:val="20"/>
          <w:szCs w:val="20"/>
        </w:rPr>
        <w:t xml:space="preserve">│  │развития корпоративных   │2004  │              │корпоративных     │</w:t>
      </w:r>
    </w:p>
    <w:p>
      <w:pPr>
        <w:spacing w:after="120"/>
        <w:ind w:firstLine="567"/>
        <w:jc w:val="left"/>
      </w:pPr>
      <w:r>
        <w:rPr>
          <w:rFonts w:ascii="Arial" w:cs="Arial" w:eastAsia="Arial" w:hAnsi="Arial"/>
          <w:sz w:val="20"/>
          <w:szCs w:val="20"/>
        </w:rPr>
        <w:t xml:space="preserve">│  │облигаций                │года  │              │облигаций,        │</w:t>
      </w:r>
    </w:p>
    <w:p>
      <w:pPr>
        <w:spacing w:after="120"/>
        <w:ind w:firstLine="567"/>
        <w:jc w:val="left"/>
      </w:pPr>
      <w:r>
        <w:rPr>
          <w:rFonts w:ascii="Arial" w:cs="Arial" w:eastAsia="Arial" w:hAnsi="Arial"/>
          <w:sz w:val="20"/>
          <w:szCs w:val="20"/>
        </w:rPr>
        <w:t xml:space="preserve">│  │                         │      │              │утвержденная      │</w:t>
      </w:r>
    </w:p>
    <w:p>
      <w:pPr>
        <w:spacing w:after="120"/>
        <w:ind w:firstLine="567"/>
        <w:jc w:val="left"/>
      </w:pPr>
      <w:r>
        <w:rPr>
          <w:rFonts w:ascii="Arial" w:cs="Arial" w:eastAsia="Arial" w:hAnsi="Arial"/>
          <w:sz w:val="20"/>
          <w:szCs w:val="20"/>
        </w:rPr>
        <w:t xml:space="preserve">│  │                         │      │              │Госкомценбумаг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16 мая 2005 года N 18 "Об утверждении Программы развития корпоративных облигаций в Кыргызской Республике"</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│12│Внесение изменений в     │IV кв.│Минфин,       │Проект Закона     │</w:t>
      </w:r>
    </w:p>
    <w:p>
      <w:pPr>
        <w:spacing w:after="120"/>
        <w:ind w:firstLine="567"/>
        <w:jc w:val="left"/>
      </w:pPr>
      <w:r>
        <w:rPr>
          <w:rFonts w:ascii="Arial" w:cs="Arial" w:eastAsia="Arial" w:hAnsi="Arial"/>
          <w:sz w:val="20"/>
          <w:szCs w:val="20"/>
        </w:rPr>
        <w:t xml:space="preserve">│  │Налоговый кодекс         │2004  │Госкомценбумаг│Кыргызской        │</w:t>
      </w:r>
    </w:p>
    <w:p>
      <w:pPr>
        <w:spacing w:after="120"/>
        <w:ind w:firstLine="567"/>
        <w:jc w:val="left"/>
      </w:pPr>
      <w:r>
        <w:rPr>
          <w:rFonts w:ascii="Arial" w:cs="Arial" w:eastAsia="Arial" w:hAnsi="Arial"/>
          <w:sz w:val="20"/>
          <w:szCs w:val="20"/>
        </w:rPr>
        <w:t xml:space="preserve">│  │Кыргызской Республики,   │года  │              │Республики "О     │</w:t>
      </w:r>
    </w:p>
    <w:p>
      <w:pPr>
        <w:spacing w:after="120"/>
        <w:ind w:firstLine="567"/>
        <w:jc w:val="left"/>
      </w:pPr>
      <w:r>
        <w:rPr>
          <w:rFonts w:ascii="Arial" w:cs="Arial" w:eastAsia="Arial" w:hAnsi="Arial"/>
          <w:sz w:val="20"/>
          <w:szCs w:val="20"/>
        </w:rPr>
        <w:t xml:space="preserve">│  │в части совершенствования│      │              │внесении изменений│</w:t>
      </w:r>
    </w:p>
    <w:p>
      <w:pPr>
        <w:spacing w:after="120"/>
        <w:ind w:firstLine="567"/>
        <w:jc w:val="left"/>
      </w:pPr>
      <w:r>
        <w:rPr>
          <w:rFonts w:ascii="Arial" w:cs="Arial" w:eastAsia="Arial" w:hAnsi="Arial"/>
          <w:sz w:val="20"/>
          <w:szCs w:val="20"/>
        </w:rPr>
        <w:t xml:space="preserve">│  │налогообложения доходов  │      │              │и дополнений в    │</w:t>
      </w:r>
    </w:p>
    <w:p>
      <w:pPr>
        <w:spacing w:after="120"/>
        <w:ind w:firstLine="567"/>
        <w:jc w:val="left"/>
      </w:pPr>
      <w:r>
        <w:rPr>
          <w:rFonts w:ascii="Arial" w:cs="Arial" w:eastAsia="Arial" w:hAnsi="Arial"/>
          <w:sz w:val="20"/>
          <w:szCs w:val="20"/>
        </w:rPr>
        <w:t xml:space="preserve">│  │по долговым ценным       │      │              │Налоговый кодекс  │</w:t>
      </w:r>
    </w:p>
    <w:p>
      <w:pPr>
        <w:spacing w:after="120"/>
        <w:ind w:firstLine="567"/>
        <w:jc w:val="left"/>
      </w:pPr>
      <w:r>
        <w:rPr>
          <w:rFonts w:ascii="Arial" w:cs="Arial" w:eastAsia="Arial" w:hAnsi="Arial"/>
          <w:sz w:val="20"/>
          <w:szCs w:val="20"/>
        </w:rPr>
        <w:t xml:space="preserve">│  │бумагам                  │      │              │Кыргызской        │</w:t>
      </w:r>
    </w:p>
    <w:p>
      <w:pPr>
        <w:spacing w:after="120"/>
        <w:ind w:firstLine="567"/>
        <w:jc w:val="left"/>
      </w:pPr>
      <w:r>
        <w:rPr>
          <w:rFonts w:ascii="Arial" w:cs="Arial" w:eastAsia="Arial" w:hAnsi="Arial"/>
          <w:sz w:val="20"/>
          <w:szCs w:val="20"/>
        </w:rPr>
        <w:t xml:space="preserve">│  │                         │      │              │Республики"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│13│Проработка вопроса о     │IV кв.│Госкомценбу-  │Проект Закона     │</w:t>
      </w:r>
    </w:p>
    <w:p>
      <w:pPr>
        <w:spacing w:after="120"/>
        <w:ind w:firstLine="567"/>
        <w:jc w:val="left"/>
      </w:pPr>
      <w:r>
        <w:rPr>
          <w:rFonts w:ascii="Arial" w:cs="Arial" w:eastAsia="Arial" w:hAnsi="Arial"/>
          <w:sz w:val="20"/>
          <w:szCs w:val="20"/>
        </w:rPr>
        <w:t xml:space="preserve">│  │внедрении ипотечных      │2005  │маг, Нацбанк  │Кыргызской        │</w:t>
      </w:r>
    </w:p>
    <w:p>
      <w:pPr>
        <w:spacing w:after="120"/>
        <w:ind w:firstLine="567"/>
        <w:jc w:val="left"/>
      </w:pPr>
      <w:r>
        <w:rPr>
          <w:rFonts w:ascii="Arial" w:cs="Arial" w:eastAsia="Arial" w:hAnsi="Arial"/>
          <w:sz w:val="20"/>
          <w:szCs w:val="20"/>
        </w:rPr>
        <w:t xml:space="preserve">│  │ценных бумаг. Разработка │года  │(по           │Республики "Об    │</w:t>
      </w:r>
    </w:p>
    <w:p>
      <w:pPr>
        <w:spacing w:after="120"/>
        <w:ind w:firstLine="567"/>
        <w:jc w:val="left"/>
      </w:pPr>
      <w:r>
        <w:rPr>
          <w:rFonts w:ascii="Arial" w:cs="Arial" w:eastAsia="Arial" w:hAnsi="Arial"/>
          <w:sz w:val="20"/>
          <w:szCs w:val="20"/>
        </w:rPr>
        <w:t xml:space="preserve">│  │проекта Закона Кыргызской│      │согласованию),│эмиссионных       │</w:t>
      </w:r>
    </w:p>
    <w:p>
      <w:pPr>
        <w:spacing w:after="120"/>
        <w:ind w:firstLine="567"/>
        <w:jc w:val="left"/>
      </w:pPr>
      <w:r>
        <w:rPr>
          <w:rFonts w:ascii="Arial" w:cs="Arial" w:eastAsia="Arial" w:hAnsi="Arial"/>
          <w:sz w:val="20"/>
          <w:szCs w:val="20"/>
        </w:rPr>
        <w:t xml:space="preserve">│  │Республики "Об           │      │Госрегистр    │ипотечных         │</w:t>
      </w:r>
    </w:p>
    <w:p>
      <w:pPr>
        <w:spacing w:after="120"/>
        <w:ind w:firstLine="567"/>
        <w:jc w:val="left"/>
      </w:pPr>
      <w:r>
        <w:rPr>
          <w:rFonts w:ascii="Arial" w:cs="Arial" w:eastAsia="Arial" w:hAnsi="Arial"/>
          <w:sz w:val="20"/>
          <w:szCs w:val="20"/>
        </w:rPr>
        <w:t xml:space="preserve">│  │эмиссионных ипотечных    │      │              │ценных бумагах"   │</w:t>
      </w:r>
    </w:p>
    <w:p>
      <w:pPr>
        <w:spacing w:after="120"/>
        <w:ind w:firstLine="567"/>
        <w:jc w:val="left"/>
      </w:pPr>
      <w:r>
        <w:rPr>
          <w:rFonts w:ascii="Arial" w:cs="Arial" w:eastAsia="Arial" w:hAnsi="Arial"/>
          <w:sz w:val="20"/>
          <w:szCs w:val="20"/>
        </w:rPr>
        <w:t xml:space="preserve">│  │ценных бумагах"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│14│Проработка вопроса о     │2004- │Мэрия гор.    │Изучение          │</w:t>
      </w:r>
    </w:p>
    <w:p>
      <w:pPr>
        <w:spacing w:after="120"/>
        <w:ind w:firstLine="567"/>
        <w:jc w:val="left"/>
      </w:pPr>
      <w:r>
        <w:rPr>
          <w:rFonts w:ascii="Arial" w:cs="Arial" w:eastAsia="Arial" w:hAnsi="Arial"/>
          <w:sz w:val="20"/>
          <w:szCs w:val="20"/>
        </w:rPr>
        <w:t xml:space="preserve">│  │выпуске муниципальных    │2006  │Бишкек,       │возможности       │</w:t>
      </w:r>
    </w:p>
    <w:p>
      <w:pPr>
        <w:spacing w:after="120"/>
        <w:ind w:firstLine="567"/>
        <w:jc w:val="left"/>
      </w:pPr>
      <w:r>
        <w:rPr>
          <w:rFonts w:ascii="Arial" w:cs="Arial" w:eastAsia="Arial" w:hAnsi="Arial"/>
          <w:sz w:val="20"/>
          <w:szCs w:val="20"/>
        </w:rPr>
        <w:t xml:space="preserve">│  │ценных бумаг             │годы  │Минфин,       │выпуска           │</w:t>
      </w:r>
    </w:p>
    <w:p>
      <w:pPr>
        <w:spacing w:after="120"/>
        <w:ind w:firstLine="567"/>
        <w:jc w:val="left"/>
      </w:pPr>
      <w:r>
        <w:rPr>
          <w:rFonts w:ascii="Arial" w:cs="Arial" w:eastAsia="Arial" w:hAnsi="Arial"/>
          <w:sz w:val="20"/>
          <w:szCs w:val="20"/>
        </w:rPr>
        <w:t xml:space="preserve">│  │                         │      │Госкомценбумаг│муниципальных     │</w:t>
      </w:r>
    </w:p>
    <w:p>
      <w:pPr>
        <w:spacing w:after="120"/>
        <w:ind w:firstLine="567"/>
        <w:jc w:val="left"/>
      </w:pPr>
      <w:r>
        <w:rPr>
          <w:rFonts w:ascii="Arial" w:cs="Arial" w:eastAsia="Arial" w:hAnsi="Arial"/>
          <w:sz w:val="20"/>
          <w:szCs w:val="20"/>
        </w:rPr>
        <w:t xml:space="preserve">│  │                         │      │              │ценных бумаг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│15│Разработка программы по  │III   │Госкомценбу-  │Программа         │</w:t>
      </w:r>
    </w:p>
    <w:p>
      <w:pPr>
        <w:spacing w:after="120"/>
        <w:ind w:firstLine="567"/>
        <w:jc w:val="left"/>
      </w:pPr>
      <w:r>
        <w:rPr>
          <w:rFonts w:ascii="Arial" w:cs="Arial" w:eastAsia="Arial" w:hAnsi="Arial"/>
          <w:sz w:val="20"/>
          <w:szCs w:val="20"/>
        </w:rPr>
        <w:t xml:space="preserve">│  │популяризации рынка      │кв.   │маг,          │популяризации     │</w:t>
      </w:r>
    </w:p>
    <w:p>
      <w:pPr>
        <w:spacing w:after="120"/>
        <w:ind w:firstLine="567"/>
        <w:jc w:val="left"/>
      </w:pPr>
      <w:r>
        <w:rPr>
          <w:rFonts w:ascii="Arial" w:cs="Arial" w:eastAsia="Arial" w:hAnsi="Arial"/>
          <w:sz w:val="20"/>
          <w:szCs w:val="20"/>
        </w:rPr>
        <w:t xml:space="preserve">│  │ценных бумаг             │2004  │Ассоциации    │рынка ценных      │</w:t>
      </w:r>
    </w:p>
    <w:p>
      <w:pPr>
        <w:spacing w:after="120"/>
        <w:ind w:firstLine="567"/>
        <w:jc w:val="left"/>
      </w:pPr>
      <w:r>
        <w:rPr>
          <w:rFonts w:ascii="Arial" w:cs="Arial" w:eastAsia="Arial" w:hAnsi="Arial"/>
          <w:sz w:val="20"/>
          <w:szCs w:val="20"/>
        </w:rPr>
        <w:t xml:space="preserve">│  │                         │года  │профессиональ-│бумаг,            │</w:t>
      </w:r>
    </w:p>
    <w:p>
      <w:pPr>
        <w:spacing w:after="120"/>
        <w:ind w:firstLine="567"/>
        <w:jc w:val="left"/>
      </w:pPr>
      <w:r>
        <w:rPr>
          <w:rFonts w:ascii="Arial" w:cs="Arial" w:eastAsia="Arial" w:hAnsi="Arial"/>
          <w:sz w:val="20"/>
          <w:szCs w:val="20"/>
        </w:rPr>
        <w:t xml:space="preserve">│  │                         │      │ных участников│утвержденная      │</w:t>
      </w:r>
    </w:p>
    <w:p>
      <w:pPr>
        <w:spacing w:after="120"/>
        <w:ind w:firstLine="567"/>
        <w:jc w:val="left"/>
      </w:pPr>
      <w:r>
        <w:rPr>
          <w:rFonts w:ascii="Arial" w:cs="Arial" w:eastAsia="Arial" w:hAnsi="Arial"/>
          <w:sz w:val="20"/>
          <w:szCs w:val="20"/>
        </w:rPr>
        <w:t xml:space="preserve">│  │                         │      │рынка ценных  │Госкомценбумаг    │</w:t>
      </w:r>
    </w:p>
    <w:p>
      <w:pPr>
        <w:spacing w:after="120"/>
        <w:ind w:firstLine="567"/>
        <w:jc w:val="left"/>
      </w:pPr>
      <w:r>
        <w:rPr>
          <w:rFonts w:ascii="Arial" w:cs="Arial" w:eastAsia="Arial" w:hAnsi="Arial"/>
          <w:sz w:val="20"/>
          <w:szCs w:val="20"/>
        </w:rPr>
        <w:t xml:space="preserve">│  │                         │      │бумаг, Учебные│                  │</w:t>
      </w:r>
    </w:p>
    <w:p>
      <w:pPr>
        <w:spacing w:after="120"/>
        <w:ind w:firstLine="567"/>
        <w:jc w:val="left"/>
      </w:pPr>
      <w:r>
        <w:rPr>
          <w:rFonts w:ascii="Arial" w:cs="Arial" w:eastAsia="Arial" w:hAnsi="Arial"/>
          <w:sz w:val="20"/>
          <w:szCs w:val="20"/>
        </w:rPr>
        <w:t xml:space="preserve">│  │                         │      │центры по     │                  │</w:t>
      </w:r>
    </w:p>
    <w:p>
      <w:pPr>
        <w:spacing w:after="120"/>
        <w:ind w:firstLine="567"/>
        <w:jc w:val="left"/>
      </w:pPr>
      <w:r>
        <w:rPr>
          <w:rFonts w:ascii="Arial" w:cs="Arial" w:eastAsia="Arial" w:hAnsi="Arial"/>
          <w:sz w:val="20"/>
          <w:szCs w:val="20"/>
        </w:rPr>
        <w:t xml:space="preserve">│  │                         │      │подготовке    │                  │</w:t>
      </w:r>
    </w:p>
    <w:p>
      <w:pPr>
        <w:spacing w:after="120"/>
        <w:ind w:firstLine="567"/>
        <w:jc w:val="left"/>
      </w:pPr>
      <w:r>
        <w:rPr>
          <w:rFonts w:ascii="Arial" w:cs="Arial" w:eastAsia="Arial" w:hAnsi="Arial"/>
          <w:sz w:val="20"/>
          <w:szCs w:val="20"/>
        </w:rPr>
        <w:t xml:space="preserve">│  │                         │      │специалистов  │                  │</w:t>
      </w:r>
    </w:p>
    <w:p>
      <w:pPr>
        <w:spacing w:after="120"/>
        <w:ind w:firstLine="567"/>
        <w:jc w:val="left"/>
      </w:pPr>
      <w:r>
        <w:rPr>
          <w:rFonts w:ascii="Arial" w:cs="Arial" w:eastAsia="Arial" w:hAnsi="Arial"/>
          <w:sz w:val="20"/>
          <w:szCs w:val="20"/>
        </w:rPr>
        <w:t xml:space="preserve">│  │                         │      │рынка ценных  │                  │</w:t>
      </w:r>
    </w:p>
    <w:p>
      <w:pPr>
        <w:spacing w:after="120"/>
        <w:ind w:firstLine="567"/>
        <w:jc w:val="left"/>
      </w:pPr>
      <w:r>
        <w:rPr>
          <w:rFonts w:ascii="Arial" w:cs="Arial" w:eastAsia="Arial" w:hAnsi="Arial"/>
          <w:sz w:val="20"/>
          <w:szCs w:val="20"/>
        </w:rPr>
        <w:t xml:space="preserve">│  │                         │      │бумаг         │                  │</w:t>
      </w:r>
    </w:p>
    <w:p>
      <w:pPr>
        <w:spacing w:after="120"/>
        <w:ind w:firstLine="567"/>
        <w:jc w:val="left"/>
      </w:pPr>
      <w:r>
        <w:rPr>
          <w:rFonts w:ascii="Arial" w:cs="Arial" w:eastAsia="Arial" w:hAnsi="Arial"/>
          <w:sz w:val="24"/>
          <w:szCs w:val="24"/>
        </w:rPr>
        <w:t xml:space="preserve"/>
      </w:r>
    </w:p>
    <w:p>
      <w:pPr>
        <w:spacing w:after="120"/>
        <w:ind w:firstLine="567"/>
        <w:jc w:val="both"/>
      </w:pPr>
      <w:r>
        <w:rPr>
          <w:rFonts w:ascii="Arial" w:cs="Arial" w:eastAsia="Arial" w:hAnsi="Arial"/>
          <w:sz w:val="20"/>
          <w:szCs w:val="20"/>
        </w:rPr>
        <w:t xml:space="preserve">См.:</w:t>
      </w:r>
    </w:p>
    <w:p>
      <w:pPr>
        <w:spacing w:after="120"/>
        <w:ind w:firstLine="567"/>
        <w:jc w:val="both"/>
      </w:pPr>
      <w:r>
        <w:rPr>
          <w:rFonts w:ascii="Arial" w:cs="Arial" w:eastAsia="Arial" w:hAnsi="Arial"/>
          <w:sz w:val="20"/>
          <w:szCs w:val="20"/>
        </w:rPr>
        <w:t xml:space="preserve">постановление Госкомиссии КР по ценным бумагам от 17 ноября 2004 года N 68 "Об утверждении Программы популяризации рынка ценных бумаг"</w:t>
      </w:r>
    </w:p>
    <w:p>
      <w:pPr>
        <w:spacing w:after="120"/>
        <w:ind w:firstLine="567"/>
        <w:jc w:val="left"/>
      </w:pPr>
      <w:r>
        <w:rPr>
          <w:rFonts w:ascii="Arial" w:cs="Arial" w:eastAsia="Arial" w:hAnsi="Arial"/>
          <w:sz w:val="24"/>
          <w:szCs w:val="24"/>
        </w:rPr>
        <w:t xml:space="preserve"/>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│16│Проработка вопроса о     │IV кв.│Минфин,       │Внесение изменений│</w:t>
      </w:r>
    </w:p>
    <w:p>
      <w:pPr>
        <w:spacing w:after="120"/>
        <w:ind w:firstLine="567"/>
        <w:jc w:val="left"/>
      </w:pPr>
      <w:r>
        <w:rPr>
          <w:rFonts w:ascii="Arial" w:cs="Arial" w:eastAsia="Arial" w:hAnsi="Arial"/>
          <w:sz w:val="20"/>
          <w:szCs w:val="20"/>
        </w:rPr>
        <w:t xml:space="preserve">│  │привлечении страховых    │2004  │Госкомценбу-  │и дополнений в    │</w:t>
      </w:r>
    </w:p>
    <w:p>
      <w:pPr>
        <w:spacing w:after="120"/>
        <w:ind w:firstLine="567"/>
        <w:jc w:val="left"/>
      </w:pPr>
      <w:r>
        <w:rPr>
          <w:rFonts w:ascii="Arial" w:cs="Arial" w:eastAsia="Arial" w:hAnsi="Arial"/>
          <w:sz w:val="20"/>
          <w:szCs w:val="20"/>
        </w:rPr>
        <w:t xml:space="preserve">│  │резервов и пенсионных    │года  │маг,          │нормативные       │</w:t>
      </w:r>
    </w:p>
    <w:p>
      <w:pPr>
        <w:spacing w:after="120"/>
        <w:ind w:firstLine="567"/>
        <w:jc w:val="left"/>
      </w:pPr>
      <w:r>
        <w:rPr>
          <w:rFonts w:ascii="Arial" w:cs="Arial" w:eastAsia="Arial" w:hAnsi="Arial"/>
          <w:sz w:val="20"/>
          <w:szCs w:val="20"/>
        </w:rPr>
        <w:t xml:space="preserve">│  │активов на рынок         │      │Минсоцтруд    │правовые акты,    │</w:t>
      </w:r>
    </w:p>
    <w:p>
      <w:pPr>
        <w:spacing w:after="120"/>
        <w:ind w:firstLine="567"/>
        <w:jc w:val="left"/>
      </w:pPr>
      <w:r>
        <w:rPr>
          <w:rFonts w:ascii="Arial" w:cs="Arial" w:eastAsia="Arial" w:hAnsi="Arial"/>
          <w:sz w:val="20"/>
          <w:szCs w:val="20"/>
        </w:rPr>
        <w:t xml:space="preserve">│  │ценных бумаг             │      │              │регулирующие      │</w:t>
      </w:r>
    </w:p>
    <w:p>
      <w:pPr>
        <w:spacing w:after="120"/>
        <w:ind w:firstLine="567"/>
        <w:jc w:val="left"/>
      </w:pPr>
      <w:r>
        <w:rPr>
          <w:rFonts w:ascii="Arial" w:cs="Arial" w:eastAsia="Arial" w:hAnsi="Arial"/>
          <w:sz w:val="20"/>
          <w:szCs w:val="20"/>
        </w:rPr>
        <w:t xml:space="preserve">│  │                         │      │              │деятельность      │</w:t>
      </w:r>
    </w:p>
    <w:p>
      <w:pPr>
        <w:spacing w:after="120"/>
        <w:ind w:firstLine="567"/>
        <w:jc w:val="left"/>
      </w:pPr>
      <w:r>
        <w:rPr>
          <w:rFonts w:ascii="Arial" w:cs="Arial" w:eastAsia="Arial" w:hAnsi="Arial"/>
          <w:sz w:val="20"/>
          <w:szCs w:val="20"/>
        </w:rPr>
        <w:t xml:space="preserve">│  │                         │      │              │страховых         │</w:t>
      </w:r>
    </w:p>
    <w:p>
      <w:pPr>
        <w:spacing w:after="120"/>
        <w:ind w:firstLine="567"/>
        <w:jc w:val="left"/>
      </w:pPr>
      <w:r>
        <w:rPr>
          <w:rFonts w:ascii="Arial" w:cs="Arial" w:eastAsia="Arial" w:hAnsi="Arial"/>
          <w:sz w:val="20"/>
          <w:szCs w:val="20"/>
        </w:rPr>
        <w:t xml:space="preserve">│  │                         │      │              │компаний и        │</w:t>
      </w:r>
    </w:p>
    <w:p>
      <w:pPr>
        <w:spacing w:after="120"/>
        <w:ind w:firstLine="567"/>
        <w:jc w:val="left"/>
      </w:pPr>
      <w:r>
        <w:rPr>
          <w:rFonts w:ascii="Arial" w:cs="Arial" w:eastAsia="Arial" w:hAnsi="Arial"/>
          <w:sz w:val="20"/>
          <w:szCs w:val="20"/>
        </w:rPr>
        <w:t xml:space="preserve">│  │                         │      │              │негосударственных │</w:t>
      </w:r>
    </w:p>
    <w:p>
      <w:pPr>
        <w:spacing w:after="120"/>
        <w:ind w:firstLine="567"/>
        <w:jc w:val="left"/>
      </w:pPr>
      <w:r>
        <w:rPr>
          <w:rFonts w:ascii="Arial" w:cs="Arial" w:eastAsia="Arial" w:hAnsi="Arial"/>
          <w:sz w:val="20"/>
          <w:szCs w:val="20"/>
        </w:rPr>
        <w:t xml:space="preserve">│  │                         │      │              │пенсионных фондов │</w:t>
      </w:r>
    </w:p>
    <w:p>
      <w:pPr>
        <w:spacing w:after="120"/>
        <w:ind w:firstLine="567"/>
        <w:jc w:val="left"/>
      </w:pPr>
      <w:r>
        <w:rPr>
          <w:rFonts w:ascii="Arial" w:cs="Arial" w:eastAsia="Arial" w:hAnsi="Arial"/>
          <w:sz w:val="20"/>
          <w:szCs w:val="20"/>
        </w:rPr>
        <w:t xml:space="preserve">│  │                         │      │              │по инвестированию │</w:t>
      </w:r>
    </w:p>
    <w:p>
      <w:pPr>
        <w:spacing w:after="120"/>
        <w:ind w:firstLine="567"/>
        <w:jc w:val="left"/>
      </w:pPr>
      <w:r>
        <w:rPr>
          <w:rFonts w:ascii="Arial" w:cs="Arial" w:eastAsia="Arial" w:hAnsi="Arial"/>
          <w:sz w:val="20"/>
          <w:szCs w:val="20"/>
        </w:rPr>
        <w:t xml:space="preserve">│  │                         │      │              │их средств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│17│Разработка нормативной   │2005  │Госкомценбу-  │Нормативные       │</w:t>
      </w:r>
    </w:p>
    <w:p>
      <w:pPr>
        <w:spacing w:after="120"/>
        <w:ind w:firstLine="567"/>
        <w:jc w:val="left"/>
      </w:pPr>
      <w:r>
        <w:rPr>
          <w:rFonts w:ascii="Arial" w:cs="Arial" w:eastAsia="Arial" w:hAnsi="Arial"/>
          <w:sz w:val="20"/>
          <w:szCs w:val="20"/>
        </w:rPr>
        <w:t xml:space="preserve">│  │правовой базы            │год   │маг, Минфин,  │правовые акты,    │</w:t>
      </w:r>
    </w:p>
    <w:p>
      <w:pPr>
        <w:spacing w:after="120"/>
        <w:ind w:firstLine="567"/>
        <w:jc w:val="left"/>
      </w:pPr>
      <w:r>
        <w:rPr>
          <w:rFonts w:ascii="Arial" w:cs="Arial" w:eastAsia="Arial" w:hAnsi="Arial"/>
          <w:sz w:val="20"/>
          <w:szCs w:val="20"/>
        </w:rPr>
        <w:t xml:space="preserve">│  │функционирования         │      │Минсоцтруд,   │регулирующие      │</w:t>
      </w:r>
    </w:p>
    <w:p>
      <w:pPr>
        <w:spacing w:after="120"/>
        <w:ind w:firstLine="567"/>
        <w:jc w:val="left"/>
      </w:pPr>
      <w:r>
        <w:rPr>
          <w:rFonts w:ascii="Arial" w:cs="Arial" w:eastAsia="Arial" w:hAnsi="Arial"/>
          <w:sz w:val="20"/>
          <w:szCs w:val="20"/>
        </w:rPr>
        <w:t xml:space="preserve">│  │управляющих компаний     │      │Соцфонд (по   │функционирование  │</w:t>
      </w:r>
    </w:p>
    <w:p>
      <w:pPr>
        <w:spacing w:after="120"/>
        <w:ind w:firstLine="567"/>
        <w:jc w:val="left"/>
      </w:pPr>
      <w:r>
        <w:rPr>
          <w:rFonts w:ascii="Arial" w:cs="Arial" w:eastAsia="Arial" w:hAnsi="Arial"/>
          <w:sz w:val="20"/>
          <w:szCs w:val="20"/>
        </w:rPr>
        <w:t xml:space="preserve">│  │по управлению            │      │согласованию) │управляющих       │</w:t>
      </w:r>
    </w:p>
    <w:p>
      <w:pPr>
        <w:spacing w:after="120"/>
        <w:ind w:firstLine="567"/>
        <w:jc w:val="left"/>
      </w:pPr>
      <w:r>
        <w:rPr>
          <w:rFonts w:ascii="Arial" w:cs="Arial" w:eastAsia="Arial" w:hAnsi="Arial"/>
          <w:sz w:val="20"/>
          <w:szCs w:val="20"/>
        </w:rPr>
        <w:t xml:space="preserve">│  │пенсионными активами     │      │              │компаний по       │</w:t>
      </w:r>
    </w:p>
    <w:p>
      <w:pPr>
        <w:spacing w:after="120"/>
        <w:ind w:firstLine="567"/>
        <w:jc w:val="left"/>
      </w:pPr>
      <w:r>
        <w:rPr>
          <w:rFonts w:ascii="Arial" w:cs="Arial" w:eastAsia="Arial" w:hAnsi="Arial"/>
          <w:sz w:val="20"/>
          <w:szCs w:val="20"/>
        </w:rPr>
        <w:t xml:space="preserve">│  │                         │      │              │управлению        │</w:t>
      </w:r>
    </w:p>
    <w:p>
      <w:pPr>
        <w:spacing w:after="120"/>
        <w:ind w:firstLine="567"/>
        <w:jc w:val="left"/>
      </w:pPr>
      <w:r>
        <w:rPr>
          <w:rFonts w:ascii="Arial" w:cs="Arial" w:eastAsia="Arial" w:hAnsi="Arial"/>
          <w:sz w:val="20"/>
          <w:szCs w:val="20"/>
        </w:rPr>
        <w:t xml:space="preserve">│  │                         │      │              │пенсионными       │</w:t>
      </w:r>
    </w:p>
    <w:p>
      <w:pPr>
        <w:spacing w:after="120"/>
        <w:ind w:firstLine="567"/>
        <w:jc w:val="left"/>
      </w:pPr>
      <w:r>
        <w:rPr>
          <w:rFonts w:ascii="Arial" w:cs="Arial" w:eastAsia="Arial" w:hAnsi="Arial"/>
          <w:sz w:val="20"/>
          <w:szCs w:val="20"/>
        </w:rPr>
        <w:t xml:space="preserve">│  │                         │      │              │активами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│18│Установление единой      │II кв.│Госкомценбу-  │Внесение изменений│</w:t>
      </w:r>
    </w:p>
    <w:p>
      <w:pPr>
        <w:spacing w:after="120"/>
        <w:ind w:firstLine="567"/>
        <w:jc w:val="left"/>
      </w:pPr>
      <w:r>
        <w:rPr>
          <w:rFonts w:ascii="Arial" w:cs="Arial" w:eastAsia="Arial" w:hAnsi="Arial"/>
          <w:sz w:val="20"/>
          <w:szCs w:val="20"/>
        </w:rPr>
        <w:t xml:space="preserve">│  │лицензии на право        │2006  │маг, Минфин,  │и дополнений в    │</w:t>
      </w:r>
    </w:p>
    <w:p>
      <w:pPr>
        <w:spacing w:after="120"/>
        <w:ind w:firstLine="567"/>
        <w:jc w:val="left"/>
      </w:pPr>
      <w:r>
        <w:rPr>
          <w:rFonts w:ascii="Arial" w:cs="Arial" w:eastAsia="Arial" w:hAnsi="Arial"/>
          <w:sz w:val="20"/>
          <w:szCs w:val="20"/>
        </w:rPr>
        <w:t xml:space="preserve">│  │управления активами      │года  │Нацбанк (по   │законодательство  │</w:t>
      </w:r>
    </w:p>
    <w:p>
      <w:pPr>
        <w:spacing w:after="120"/>
        <w:ind w:firstLine="567"/>
        <w:jc w:val="left"/>
      </w:pPr>
      <w:r>
        <w:rPr>
          <w:rFonts w:ascii="Arial" w:cs="Arial" w:eastAsia="Arial" w:hAnsi="Arial"/>
          <w:sz w:val="20"/>
          <w:szCs w:val="20"/>
        </w:rPr>
        <w:t xml:space="preserve">│  │институциональных        │      │согласованию),│Кыргызской        │</w:t>
      </w:r>
    </w:p>
    <w:p>
      <w:pPr>
        <w:spacing w:after="120"/>
        <w:ind w:firstLine="567"/>
        <w:jc w:val="left"/>
      </w:pPr>
      <w:r>
        <w:rPr>
          <w:rFonts w:ascii="Arial" w:cs="Arial" w:eastAsia="Arial" w:hAnsi="Arial"/>
          <w:sz w:val="20"/>
          <w:szCs w:val="20"/>
        </w:rPr>
        <w:t xml:space="preserve">│  │инвесторов               │      │Минюст        │Республики о      │</w:t>
      </w:r>
    </w:p>
    <w:p>
      <w:pPr>
        <w:spacing w:after="120"/>
        <w:ind w:firstLine="567"/>
        <w:jc w:val="left"/>
      </w:pPr>
      <w:r>
        <w:rPr>
          <w:rFonts w:ascii="Arial" w:cs="Arial" w:eastAsia="Arial" w:hAnsi="Arial"/>
          <w:sz w:val="20"/>
          <w:szCs w:val="20"/>
        </w:rPr>
        <w:t xml:space="preserve">│  │                         │      │              │лицензировании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│19│Проработка вопроса о     │IV кв.│Госкомценбу-  │Отчет по итогам   │</w:t>
      </w:r>
    </w:p>
    <w:p>
      <w:pPr>
        <w:spacing w:after="120"/>
        <w:ind w:firstLine="567"/>
        <w:jc w:val="left"/>
      </w:pPr>
      <w:r>
        <w:rPr>
          <w:rFonts w:ascii="Arial" w:cs="Arial" w:eastAsia="Arial" w:hAnsi="Arial"/>
          <w:sz w:val="20"/>
          <w:szCs w:val="20"/>
        </w:rPr>
        <w:t xml:space="preserve">│  │расширении полномочий    │2004  │маг,          │проработки вопроса│</w:t>
      </w:r>
    </w:p>
    <w:p>
      <w:pPr>
        <w:spacing w:after="120"/>
        <w:ind w:firstLine="567"/>
        <w:jc w:val="left"/>
      </w:pPr>
      <w:r>
        <w:rPr>
          <w:rFonts w:ascii="Arial" w:cs="Arial" w:eastAsia="Arial" w:hAnsi="Arial"/>
          <w:sz w:val="20"/>
          <w:szCs w:val="20"/>
        </w:rPr>
        <w:t xml:space="preserve">│  │Госкомценбумаг, в части  │года  │Минэкономпром-│о расширении      │</w:t>
      </w:r>
    </w:p>
    <w:p>
      <w:pPr>
        <w:spacing w:after="120"/>
        <w:ind w:firstLine="567"/>
        <w:jc w:val="left"/>
      </w:pPr>
      <w:r>
        <w:rPr>
          <w:rFonts w:ascii="Arial" w:cs="Arial" w:eastAsia="Arial" w:hAnsi="Arial"/>
          <w:sz w:val="20"/>
          <w:szCs w:val="20"/>
        </w:rPr>
        <w:t xml:space="preserve">│  │проведения проверок и    │      │торг          │полномочий        │</w:t>
      </w:r>
    </w:p>
    <w:p>
      <w:pPr>
        <w:spacing w:after="120"/>
        <w:ind w:firstLine="567"/>
        <w:jc w:val="left"/>
      </w:pPr>
      <w:r>
        <w:rPr>
          <w:rFonts w:ascii="Arial" w:cs="Arial" w:eastAsia="Arial" w:hAnsi="Arial"/>
          <w:sz w:val="20"/>
          <w:szCs w:val="20"/>
        </w:rPr>
        <w:t xml:space="preserve">│  │ревизий на рынке         │      │              │Госкомценбумаг    │</w:t>
      </w:r>
    </w:p>
    <w:p>
      <w:pPr>
        <w:spacing w:after="120"/>
        <w:ind w:firstLine="567"/>
        <w:jc w:val="left"/>
      </w:pPr>
      <w:r>
        <w:rPr>
          <w:rFonts w:ascii="Arial" w:cs="Arial" w:eastAsia="Arial" w:hAnsi="Arial"/>
          <w:sz w:val="20"/>
          <w:szCs w:val="20"/>
        </w:rPr>
        <w:t xml:space="preserve">│  │ценных бумаг             │      │              │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│20│Проработка вопроса об    │III   │Минфин,       │Изучение          │</w:t>
      </w:r>
    </w:p>
    <w:p>
      <w:pPr>
        <w:spacing w:after="120"/>
        <w:ind w:firstLine="567"/>
        <w:jc w:val="left"/>
      </w:pPr>
      <w:r>
        <w:rPr>
          <w:rFonts w:ascii="Arial" w:cs="Arial" w:eastAsia="Arial" w:hAnsi="Arial"/>
          <w:sz w:val="20"/>
          <w:szCs w:val="20"/>
        </w:rPr>
        <w:t xml:space="preserve">│  │избежании двойного       │кв.   │Госкомценбумаг│возможности       │</w:t>
      </w:r>
    </w:p>
    <w:p>
      <w:pPr>
        <w:spacing w:after="120"/>
        <w:ind w:firstLine="567"/>
        <w:jc w:val="left"/>
      </w:pPr>
      <w:r>
        <w:rPr>
          <w:rFonts w:ascii="Arial" w:cs="Arial" w:eastAsia="Arial" w:hAnsi="Arial"/>
          <w:sz w:val="20"/>
          <w:szCs w:val="20"/>
        </w:rPr>
        <w:t xml:space="preserve">│  │налогообложения при      │2006  │              │заключения        │</w:t>
      </w:r>
    </w:p>
    <w:p>
      <w:pPr>
        <w:spacing w:after="120"/>
        <w:ind w:firstLine="567"/>
        <w:jc w:val="left"/>
      </w:pPr>
      <w:r>
        <w:rPr>
          <w:rFonts w:ascii="Arial" w:cs="Arial" w:eastAsia="Arial" w:hAnsi="Arial"/>
          <w:sz w:val="20"/>
          <w:szCs w:val="20"/>
        </w:rPr>
        <w:t xml:space="preserve">│  │совершении операции по   │года  │              │международных     │</w:t>
      </w:r>
    </w:p>
    <w:p>
      <w:pPr>
        <w:spacing w:after="120"/>
        <w:ind w:firstLine="567"/>
        <w:jc w:val="left"/>
      </w:pPr>
      <w:r>
        <w:rPr>
          <w:rFonts w:ascii="Arial" w:cs="Arial" w:eastAsia="Arial" w:hAnsi="Arial"/>
          <w:sz w:val="20"/>
          <w:szCs w:val="20"/>
        </w:rPr>
        <w:t xml:space="preserve">│  │ценным бумагам между     │      │              │соглашений по     │</w:t>
      </w:r>
    </w:p>
    <w:p>
      <w:pPr>
        <w:spacing w:after="120"/>
        <w:ind w:firstLine="567"/>
        <w:jc w:val="left"/>
      </w:pPr>
      <w:r>
        <w:rPr>
          <w:rFonts w:ascii="Arial" w:cs="Arial" w:eastAsia="Arial" w:hAnsi="Arial"/>
          <w:sz w:val="20"/>
          <w:szCs w:val="20"/>
        </w:rPr>
        <w:t xml:space="preserve">│  │Кыргызской Республикой и │      │              │вопросу об        │</w:t>
      </w:r>
    </w:p>
    <w:p>
      <w:pPr>
        <w:spacing w:after="120"/>
        <w:ind w:firstLine="567"/>
        <w:jc w:val="left"/>
      </w:pPr>
      <w:r>
        <w:rPr>
          <w:rFonts w:ascii="Arial" w:cs="Arial" w:eastAsia="Arial" w:hAnsi="Arial"/>
          <w:sz w:val="20"/>
          <w:szCs w:val="20"/>
        </w:rPr>
        <w:t xml:space="preserve">│  │странами Центральной Азии│      │              │избежании двойного│</w:t>
      </w:r>
    </w:p>
    <w:p>
      <w:pPr>
        <w:spacing w:after="120"/>
        <w:ind w:firstLine="567"/>
        <w:jc w:val="left"/>
      </w:pPr>
      <w:r>
        <w:rPr>
          <w:rFonts w:ascii="Arial" w:cs="Arial" w:eastAsia="Arial" w:hAnsi="Arial"/>
          <w:sz w:val="20"/>
          <w:szCs w:val="20"/>
        </w:rPr>
        <w:t xml:space="preserve">│  │                         │      │              │налогообложения   │</w:t>
      </w:r>
    </w:p>
    <w:p>
      <w:pPr>
        <w:spacing w:after="120"/>
        <w:ind w:firstLine="567"/>
        <w:jc w:val="left"/>
      </w:pPr>
      <w:r>
        <w:rPr>
          <w:rFonts w:ascii="Arial" w:cs="Arial" w:eastAsia="Arial" w:hAnsi="Arial"/>
          <w:sz w:val="20"/>
          <w:szCs w:val="20"/>
        </w:rPr>
        <w:t xml:space="preserve">│  │                         │      │              │при совершении    │</w:t>
      </w:r>
    </w:p>
    <w:p>
      <w:pPr>
        <w:spacing w:after="120"/>
        <w:ind w:firstLine="567"/>
        <w:jc w:val="left"/>
      </w:pPr>
      <w:r>
        <w:rPr>
          <w:rFonts w:ascii="Arial" w:cs="Arial" w:eastAsia="Arial" w:hAnsi="Arial"/>
          <w:sz w:val="20"/>
          <w:szCs w:val="20"/>
        </w:rPr>
        <w:t xml:space="preserve">│  │                         │      │              │операции по ценным│</w:t>
      </w:r>
    </w:p>
    <w:p>
      <w:pPr>
        <w:spacing w:after="120"/>
        <w:ind w:firstLine="567"/>
        <w:jc w:val="left"/>
      </w:pPr>
      <w:r>
        <w:rPr>
          <w:rFonts w:ascii="Arial" w:cs="Arial" w:eastAsia="Arial" w:hAnsi="Arial"/>
          <w:sz w:val="20"/>
          <w:szCs w:val="20"/>
        </w:rPr>
        <w:t xml:space="preserve">│  │                         │      │              │бумагам между     │</w:t>
      </w:r>
    </w:p>
    <w:p>
      <w:pPr>
        <w:spacing w:after="120"/>
        <w:ind w:firstLine="567"/>
        <w:jc w:val="left"/>
      </w:pPr>
      <w:r>
        <w:rPr>
          <w:rFonts w:ascii="Arial" w:cs="Arial" w:eastAsia="Arial" w:hAnsi="Arial"/>
          <w:sz w:val="20"/>
          <w:szCs w:val="20"/>
        </w:rPr>
        <w:t xml:space="preserve">│  │                         │      │              │Кыргызской        │</w:t>
      </w:r>
    </w:p>
    <w:p>
      <w:pPr>
        <w:spacing w:after="120"/>
        <w:ind w:firstLine="567"/>
        <w:jc w:val="left"/>
      </w:pPr>
      <w:r>
        <w:rPr>
          <w:rFonts w:ascii="Arial" w:cs="Arial" w:eastAsia="Arial" w:hAnsi="Arial"/>
          <w:sz w:val="20"/>
          <w:szCs w:val="20"/>
        </w:rPr>
        <w:t xml:space="preserve">│  │                         │      │              │Республикой и     │</w:t>
      </w:r>
    </w:p>
    <w:p>
      <w:pPr>
        <w:spacing w:after="120"/>
        <w:ind w:firstLine="567"/>
        <w:jc w:val="left"/>
      </w:pPr>
      <w:r>
        <w:rPr>
          <w:rFonts w:ascii="Arial" w:cs="Arial" w:eastAsia="Arial" w:hAnsi="Arial"/>
          <w:sz w:val="20"/>
          <w:szCs w:val="20"/>
        </w:rPr>
        <w:t xml:space="preserve">│  │                         │      │              │странами          │</w:t>
      </w:r>
    </w:p>
    <w:p>
      <w:pPr>
        <w:spacing w:after="120"/>
        <w:ind w:firstLine="567"/>
        <w:jc w:val="left"/>
      </w:pPr>
      <w:r>
        <w:rPr>
          <w:rFonts w:ascii="Arial" w:cs="Arial" w:eastAsia="Arial" w:hAnsi="Arial"/>
          <w:sz w:val="20"/>
          <w:szCs w:val="20"/>
        </w:rPr>
        <w:t xml:space="preserve">│  │                         │      │              │Центральной Азии  │</w:t>
      </w:r>
    </w:p>
    <w:p>
      <w:pPr>
        <w:spacing w:after="120"/>
        <w:ind w:firstLine="567"/>
        <w:jc w:val="left"/>
      </w:pPr>
      <w:r>
        <w:rPr>
          <w:rFonts w:ascii="Arial" w:cs="Arial" w:eastAsia="Arial" w:hAnsi="Arial"/>
          <w:sz w:val="20"/>
          <w:szCs w:val="20"/>
        </w:rPr>
        <w:t xml:space="preserve">├──┼─────────────────────────┼──────┼──────────────┼──────────────────┤</w:t>
      </w:r>
    </w:p>
    <w:p>
      <w:pPr>
        <w:spacing w:after="120"/>
        <w:ind w:firstLine="567"/>
        <w:jc w:val="left"/>
      </w:pPr>
      <w:r>
        <w:rPr>
          <w:rFonts w:ascii="Arial" w:cs="Arial" w:eastAsia="Arial" w:hAnsi="Arial"/>
          <w:sz w:val="20"/>
          <w:szCs w:val="20"/>
        </w:rPr>
        <w:t xml:space="preserve">│21│Проработка вопроса о     │IV кв.│Госкомценбумаг│Изучение          │</w:t>
      </w:r>
    </w:p>
    <w:p>
      <w:pPr>
        <w:spacing w:after="120"/>
        <w:ind w:firstLine="567"/>
        <w:jc w:val="left"/>
      </w:pPr>
      <w:r>
        <w:rPr>
          <w:rFonts w:ascii="Arial" w:cs="Arial" w:eastAsia="Arial" w:hAnsi="Arial"/>
          <w:sz w:val="20"/>
          <w:szCs w:val="20"/>
        </w:rPr>
        <w:t xml:space="preserve">│  │признании лицензий       │2006  │              │возможности       │</w:t>
      </w:r>
    </w:p>
    <w:p>
      <w:pPr>
        <w:spacing w:after="120"/>
        <w:ind w:firstLine="567"/>
        <w:jc w:val="left"/>
      </w:pPr>
      <w:r>
        <w:rPr>
          <w:rFonts w:ascii="Arial" w:cs="Arial" w:eastAsia="Arial" w:hAnsi="Arial"/>
          <w:sz w:val="20"/>
          <w:szCs w:val="20"/>
        </w:rPr>
        <w:t xml:space="preserve">│  │профессиональных         │года  │              │заключения        │</w:t>
      </w:r>
    </w:p>
    <w:p>
      <w:pPr>
        <w:spacing w:after="120"/>
        <w:ind w:firstLine="567"/>
        <w:jc w:val="left"/>
      </w:pPr>
      <w:r>
        <w:rPr>
          <w:rFonts w:ascii="Arial" w:cs="Arial" w:eastAsia="Arial" w:hAnsi="Arial"/>
          <w:sz w:val="20"/>
          <w:szCs w:val="20"/>
        </w:rPr>
        <w:t xml:space="preserve">│  │участников рынка         │      │              │международных     │</w:t>
      </w:r>
    </w:p>
    <w:p>
      <w:pPr>
        <w:spacing w:after="120"/>
        <w:ind w:firstLine="567"/>
        <w:jc w:val="left"/>
      </w:pPr>
      <w:r>
        <w:rPr>
          <w:rFonts w:ascii="Arial" w:cs="Arial" w:eastAsia="Arial" w:hAnsi="Arial"/>
          <w:sz w:val="20"/>
          <w:szCs w:val="20"/>
        </w:rPr>
        <w:t xml:space="preserve">│  │ценных бумаг Кыргызской  │      │              │соглашений по     │</w:t>
      </w:r>
    </w:p>
    <w:p>
      <w:pPr>
        <w:spacing w:after="120"/>
        <w:ind w:firstLine="567"/>
        <w:jc w:val="left"/>
      </w:pPr>
      <w:r>
        <w:rPr>
          <w:rFonts w:ascii="Arial" w:cs="Arial" w:eastAsia="Arial" w:hAnsi="Arial"/>
          <w:sz w:val="20"/>
          <w:szCs w:val="20"/>
        </w:rPr>
        <w:t xml:space="preserve">│  │Республики странами      │      │              │вопросу признания │</w:t>
      </w:r>
    </w:p>
    <w:p>
      <w:pPr>
        <w:spacing w:after="120"/>
        <w:ind w:firstLine="567"/>
        <w:jc w:val="left"/>
      </w:pPr>
      <w:r>
        <w:rPr>
          <w:rFonts w:ascii="Arial" w:cs="Arial" w:eastAsia="Arial" w:hAnsi="Arial"/>
          <w:sz w:val="20"/>
          <w:szCs w:val="20"/>
        </w:rPr>
        <w:t xml:space="preserve">│  │Центральной Азии         │      │              │лицензий          │</w:t>
      </w:r>
    </w:p>
    <w:p>
      <w:pPr>
        <w:spacing w:after="120"/>
        <w:ind w:firstLine="567"/>
        <w:jc w:val="left"/>
      </w:pPr>
      <w:r>
        <w:rPr>
          <w:rFonts w:ascii="Arial" w:cs="Arial" w:eastAsia="Arial" w:hAnsi="Arial"/>
          <w:sz w:val="20"/>
          <w:szCs w:val="20"/>
        </w:rPr>
        <w:t xml:space="preserve">│  │                         │      │              │профессиональных  │</w:t>
      </w:r>
    </w:p>
    <w:p>
      <w:pPr>
        <w:spacing w:after="120"/>
        <w:ind w:firstLine="567"/>
        <w:jc w:val="left"/>
      </w:pPr>
      <w:r>
        <w:rPr>
          <w:rFonts w:ascii="Arial" w:cs="Arial" w:eastAsia="Arial" w:hAnsi="Arial"/>
          <w:sz w:val="20"/>
          <w:szCs w:val="20"/>
        </w:rPr>
        <w:t xml:space="preserve">│  │                         │      │              │участников рынка  │</w:t>
      </w:r>
    </w:p>
    <w:p>
      <w:pPr>
        <w:spacing w:after="120"/>
        <w:ind w:firstLine="567"/>
        <w:jc w:val="left"/>
      </w:pPr>
      <w:r>
        <w:rPr>
          <w:rFonts w:ascii="Arial" w:cs="Arial" w:eastAsia="Arial" w:hAnsi="Arial"/>
          <w:sz w:val="20"/>
          <w:szCs w:val="20"/>
        </w:rPr>
        <w:t xml:space="preserve">│  │                         │      │              │ценных бумаг      │</w:t>
      </w:r>
    </w:p>
    <w:p>
      <w:pPr>
        <w:spacing w:after="120"/>
        <w:ind w:firstLine="567"/>
        <w:jc w:val="left"/>
      </w:pPr>
      <w:r>
        <w:rPr>
          <w:rFonts w:ascii="Arial" w:cs="Arial" w:eastAsia="Arial" w:hAnsi="Arial"/>
          <w:sz w:val="20"/>
          <w:szCs w:val="20"/>
        </w:rPr>
        <w:t xml:space="preserve">│  │                         │      │              │Кыргызской        │</w:t>
      </w:r>
    </w:p>
    <w:p>
      <w:pPr>
        <w:spacing w:after="120"/>
        <w:ind w:firstLine="567"/>
        <w:jc w:val="left"/>
      </w:pPr>
      <w:r>
        <w:rPr>
          <w:rFonts w:ascii="Arial" w:cs="Arial" w:eastAsia="Arial" w:hAnsi="Arial"/>
          <w:sz w:val="20"/>
          <w:szCs w:val="20"/>
        </w:rPr>
        <w:t xml:space="preserve">│  │                         │      │              │Республики        │</w:t>
      </w:r>
    </w:p>
    <w:p>
      <w:pPr>
        <w:spacing w:after="120"/>
        <w:ind w:firstLine="567"/>
        <w:jc w:val="left"/>
      </w:pPr>
      <w:r>
        <w:rPr>
          <w:rFonts w:ascii="Arial" w:cs="Arial" w:eastAsia="Arial" w:hAnsi="Arial"/>
          <w:sz w:val="20"/>
          <w:szCs w:val="20"/>
        </w:rPr>
        <w:t xml:space="preserve">│  │                         │      │              │странами          │</w:t>
      </w:r>
    </w:p>
    <w:p>
      <w:pPr>
        <w:spacing w:after="120"/>
        <w:ind w:firstLine="567"/>
        <w:jc w:val="left"/>
      </w:pPr>
      <w:r>
        <w:rPr>
          <w:rFonts w:ascii="Arial" w:cs="Arial" w:eastAsia="Arial" w:hAnsi="Arial"/>
          <w:sz w:val="20"/>
          <w:szCs w:val="20"/>
        </w:rPr>
        <w:t xml:space="preserve">│  │                         │      │              │Центральной Азии  │</w:t>
      </w:r>
    </w:p>
    <w:p>
      <w:pPr>
        <w:spacing w:after="120"/>
        <w:ind w:firstLine="567"/>
        <w:jc w:val="left"/>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h-7dr9tnklomcmfyfecb">
      <w:r>
        <w:rPr>
          <w:rFonts w:ascii="Arial" w:cs="Arial" w:eastAsia="Arial" w:hAnsi="Arial"/>
          <w:color w:val="132D3F"/>
          <w:sz w:val="16"/>
          <w:szCs w:val="16"/>
          <w:u w:val="single"/>
        </w:rPr>
        <w:t xml:space="preserve">dalil.kg/document/55618</w:t>
      </w:r>
    </w:hyperlink>
  </w:p>
  <w:p>
    <w:pPr>
      <w:spacing w:after="0" w:before="40"/>
      <w:jc w:val="center"/>
    </w:pPr>
    <w:hyperlink w:history="1" r:id="rIdcjdacxe0zax6adealwfi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qzgq7l4lkwnygo98w9-n" Type="http://schemas.openxmlformats.org/officeDocument/2006/relationships/hyperlink" Target="https://dalil.kg/document/11674" TargetMode="External"/><Relationship Id="rIdacugn2vg1xwhmf-j75ttu" Type="http://schemas.openxmlformats.org/officeDocument/2006/relationships/hyperlink" Target="https://dalil.kg/document/11674" TargetMode="External"/><Relationship Id="rIdde__bbzbj-jmjgwv-wfpa" Type="http://schemas.openxmlformats.org/officeDocument/2006/relationships/hyperlink" Target="https://dalil.kg/document/5561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h-7dr9tnklomcmfyfecb" Type="http://schemas.openxmlformats.org/officeDocument/2006/relationships/hyperlink" Target="https://dalil.kg/document/55618" TargetMode="External"/><Relationship Id="rIdcjdacxe0zax6adealwfi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2026-09-24T14:41:02.337Z</dcterms:created>
  <dcterms:modified xsi:type="dcterms:W3CDTF">2026-09-24T14:41:02.337Z</dcterms:modified>
</cp:coreProperties>
</file>

<file path=docProps/custom.xml><?xml version="1.0" encoding="utf-8"?>
<Properties xmlns="http://schemas.openxmlformats.org/officeDocument/2006/custom-properties" xmlns:vt="http://schemas.openxmlformats.org/officeDocument/2006/docPropsVTypes"/>
</file>