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Приложение                                     к </w:t>
      </w:r>
      <w:hyperlink w:history="1" r:id="rIdo7ctegl77rmqu9gofxamh">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28 июля 2004 года № 560                             Примерный порядок   взаимодействия региональных товаропроизводителей, товарной биржи,            распределительных центров, банков, предприятий, организаций и физических лиц при их участии на добровольной основе в         межрегиональной товаропроводящей системе «Бишкекские                             контракты»                                     В     целях     увеличения     продажи     товаров     отечественныхтоваропроизводителей,   формирования   ассортимента   продукции    дляпредприятий  торговли,  общественного питания, организации  системногоподхода  по  ее продвижению на Бишкекский и внешние рынки,  финансово-расчетного   обеспечения   участников   системы   товародвижения,    -взаимодействуют на основе настоящего примерного порядка.  Региональные  поставщики-товаропроизводители  независимо   от   формсобственности,   физические  и  юридические  лица,   включая   страны-участницы Содружества Независимых Государств и дальнего зарубежья,  надобровольной  основе  подают заявки на продажу и  покупку  товаров  наБишкекский и внешние рынки через биржевые торги, на товарную биржу.  В  заявках  указываются  ассортимент,  количество  товаров,  оптовыесвободные отпускные цены, сроки и периодичность поставок.  Региональные  поставщики-товаропроизводители  продают  продукцию   всоответствии  с  заключаемыми трехсторонними договорами:  поставщик  -товаропроизводитель  -  товарная биржа -  распределительные  центры  -потребитель.  Приоритетным      правом      поставок     товаров      региональныхтоваропроизводителей в рамках межрегиональной товаропроводящей системы«Бишкекские контракты» признается добровольная сертификация продукции.  Региональные товаропроизводители доставляют партии продукции в любомколичестве   и  ассортименте  на  распределительные  центры,   которыереализуются через биржевые торги.  Товарная   биржа,   в   порядке  установленном  </w:t>
      </w:r>
      <w:hyperlink w:history="1" r:id="rId_sllclcrrjeiukfozhpu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КыргызскойРеспублики   «О  товарной  бирже  и  биржевой  торговле  в  КыргызскойРеспублике»,  организует проведение биржевых  торгов  и  аукционов  попродаже   продукции  региональных  товаропроизводителей   предприятиямторговли,  общественного  питания,  государственным  закупщикам   (длягосударственных нужд по статье «Питание»), другим участникам,  включаяфизические  и юридические лица стран-участниц Содружества  НезависимыхГосударств   и  дальнего  зарубежья,  что  подтверждается  заключениемдоговоров между ними по биржевым сделкам.  Цена  на  продукцию  и  товары определяется в ходе  биржевых  торгов(аукционов) по спросу и предложениям (немонопольное ценообразование).  Сделки регистрируются на товарной бирже.  Информация   о  заключенных  договорах  направляется   в   расчетнуюклиринговую   палату   товарной  биржи  для   проведения   безналичныхвзаиморасчетов   по   биржевым  сделкам  между  участниками   биржевойторговле.  На межрегиональных биржевых торгах мелкие партии объединяются в пулы-лоты,  которые  соответствуют  объемам биржевой  оптовой  торговли  навнешние рынки.  Распределительные  центры обеспечивают хранение и  реализацию  любыхвидов   товаров,  производимых  в  Кыргызской  Республике,   в   любомколичестве и широком ассортименте.  Деятельность  распределительных  центров  осуществляется  на  основедоговора  с  региональными  поставщиками  -  товаропроизводителями   итоварной   биржей,  который  предусматривает  последующую   реализациюпродукции и товаров через биржевые торги.  Основные   требования  функционирования  распределительных   центроввключают:  -  наличие  опыта  работы  у  оптового  предприятия  в  области  егодеятельности;  -  наличие складов для хранения товаров площадью не менее 5  тыс.кв.метров или емкостью холодильников не менее 1000 куб. метров;  - применение информационно-коммуникационных технологий;  - наличие квалифицированного персонала;    возможность    оказания    услуг    предприятиям,    организациями физическим лицам по:    погрузо-разгрузочным работам;    организации автомобильных стоянок;    охране товаров;    расчетно-кассовым услугам;    обеспечению противопожарной безопасности;    информации о конъюнктуре товаров.  Финансово-расчетное   обеспечение   осуществляется    уполномоченным(обслуживающим)  банком, в котором имеется счет Расчетной  клиринговойпалаты товарной биржи.  Расчетная  клиринговая  палата товарной биржи  открывает  участникамбиржевых торгов субсчета, предназначенные для торговых операций.  «Торговые»  счета  необходимы  для  перечисления  страховых  сумм  ииспользуются  для  регулирования позиций участников  биржевых  торгов.Счет  является  «нейтральным» для расчетов по отдельным  операциям  запродукцию.  В  целях  повышения  заинтересованности  участия  в  межрегиональнойтоваропроводящей системе «Бишкекские контракты» участники торгов могутвоспользоваться инструментами финансирования торговых  операций  через         гарантию клиринговой  палаты товарной биржи или банковской  гарантии,аккредитива, краткосрочного кредитования и др.  Предприятия   торговли  и  общественного  питания,   государственныезакупщики  (для  государственных нужд  по  статье  «Питание»),  другиеучастники,   включая  физические  и  юридические  лица  стран-участницСодружества  Независимых  Государств и дальнего  зарубежья,  в  рамкахмежрегиональной  товаропроводящей системы «Бишкекские  контракты»,  порезультату   биржевых  торгов,  могут  получать  из  распределительныхцентров мелкие партии разных видов продукции в широком ассортименте, споставкой в разные сроки по согласованному графику.  Расчеты с поставщиками ведутся со специально открытых для этих целейсубсчетов  смета  Расчетной клиринговой палаты  товарной  биржи  черезуполномоченный (обслуживающий) банк для участников, заинтересованных вмежрегиональной товаропроводящей системе «Бишкекские контракты».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me2ljiqne82wlixr-ci8">
      <w:r>
        <w:rPr>
          <w:rFonts w:ascii="Arial" w:cs="Arial" w:eastAsia="Arial" w:hAnsi="Arial"/>
          <w:color w:val="132D3F"/>
          <w:sz w:val="16"/>
          <w:szCs w:val="16"/>
          <w:u w:val="single"/>
        </w:rPr>
        <w:t xml:space="preserve">dalil.kg/document/55625</w:t>
      </w:r>
    </w:hyperlink>
  </w:p>
  <w:p>
    <w:pPr>
      <w:spacing w:after="0" w:before="40"/>
      <w:jc w:val="center"/>
    </w:pPr>
    <w:hyperlink w:history="1" r:id="rIdzucwg_ekpwt4ylvx04pt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7ctegl77rmqu9gofxamh" Type="http://schemas.openxmlformats.org/officeDocument/2006/relationships/hyperlink" Target="https://dalil.kg/document/55624" TargetMode="External"/><Relationship Id="rId_sllclcrrjeiukfozhpul" Type="http://schemas.openxmlformats.org/officeDocument/2006/relationships/hyperlink" Target="https://dalil.kg/document/80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me2ljiqne82wlixr-ci8" Type="http://schemas.openxmlformats.org/officeDocument/2006/relationships/hyperlink" Target="https://dalil.kg/document/55625" TargetMode="External"/><Relationship Id="rIdzucwg_ekpwt4ylvx04pt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2026-09-24T12:24:29.368Z</dcterms:created>
  <dcterms:modified xsi:type="dcterms:W3CDTF">2026-09-24T12:24:29.368Z</dcterms:modified>
</cp:coreProperties>
</file>

<file path=docProps/custom.xml><?xml version="1.0" encoding="utf-8"?>
<Properties xmlns="http://schemas.openxmlformats.org/officeDocument/2006/custom-properties" xmlns:vt="http://schemas.openxmlformats.org/officeDocument/2006/docPropsVTypes"/>
</file>