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c7gxkag8chmmbgi0oe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11 февраля 2005 года № 76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"Развитие рынка земли</w:t>
      </w:r>
    </w:p>
    <w:p>
      <w:r>
        <w:rPr>
          <w:rFonts w:ascii="Arial" w:cs="Arial" w:eastAsia="Arial" w:hAnsi="Arial"/>
          <w:sz w:val="24"/>
          <w:szCs w:val="24"/>
        </w:rPr>
        <w:t xml:space="preserve">и недвижимого имущества в сельской местности</w:t>
      </w:r>
    </w:p>
    <w:p>
      <w:r>
        <w:rPr>
          <w:rFonts w:ascii="Arial" w:cs="Arial" w:eastAsia="Arial" w:hAnsi="Arial"/>
          <w:sz w:val="24"/>
          <w:szCs w:val="24"/>
        </w:rPr>
        <w:t xml:space="preserve">до 2010 года"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стратегии  Кыргызской Республики "Комплексное развитие  села  до  2010</w:t>
      </w:r>
    </w:p>
    <w:p>
      <w:r>
        <w:rPr>
          <w:rFonts w:ascii="Arial" w:cs="Arial" w:eastAsia="Arial" w:hAnsi="Arial"/>
          <w:sz w:val="24"/>
          <w:szCs w:val="24"/>
        </w:rPr>
        <w:t xml:space="preserve">года"  от  23  июня  2004  года № 210 и в  целях  выполнения  решений,</w:t>
      </w:r>
    </w:p>
    <w:p>
      <w:r>
        <w:rPr>
          <w:rFonts w:ascii="Arial" w:cs="Arial" w:eastAsia="Arial" w:hAnsi="Arial"/>
          <w:sz w:val="24"/>
          <w:szCs w:val="24"/>
        </w:rPr>
        <w:t xml:space="preserve">обозначенных  в Комплексной основе развития Кыргызской  Республики  до</w:t>
      </w:r>
    </w:p>
    <w:p>
      <w:r>
        <w:rPr>
          <w:rFonts w:ascii="Arial" w:cs="Arial" w:eastAsia="Arial" w:hAnsi="Arial"/>
          <w:sz w:val="24"/>
          <w:szCs w:val="24"/>
        </w:rPr>
        <w:t xml:space="preserve">2010  года  и Национальной стратегии сокращения бедности на  2003-2005</w:t>
      </w:r>
    </w:p>
    <w:p>
      <w:r>
        <w:rPr>
          <w:rFonts w:ascii="Arial" w:cs="Arial" w:eastAsia="Arial" w:hAnsi="Arial"/>
          <w:sz w:val="24"/>
          <w:szCs w:val="24"/>
        </w:rPr>
        <w:t xml:space="preserve">годы,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 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"Развитие рынка земли и недвижимого имущества  в  сельской</w:t>
      </w:r>
    </w:p>
    <w:p>
      <w:r>
        <w:rPr>
          <w:rFonts w:ascii="Arial" w:cs="Arial" w:eastAsia="Arial" w:hAnsi="Arial"/>
          <w:sz w:val="24"/>
          <w:szCs w:val="24"/>
        </w:rPr>
        <w:t xml:space="preserve">местности до 2010 года".</w:t>
      </w:r>
    </w:p>
    <w:p>
      <w:r>
        <w:rPr>
          <w:rFonts w:ascii="Arial" w:cs="Arial" w:eastAsia="Arial" w:hAnsi="Arial"/>
          <w:sz w:val="24"/>
          <w:szCs w:val="24"/>
        </w:rPr>
        <w:t xml:space="preserve">2.   Министерствам,   государственным  комитетам, 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ведомствам,   государственным   комиссиям,   местным   государственным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администрациям, органам местного самоуправления принять  к  исполнению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 программу Кыргызской Республики "Развитие рынка  земли</w:t>
      </w:r>
    </w:p>
    <w:p>
      <w:r>
        <w:rPr>
          <w:rFonts w:ascii="Arial" w:cs="Arial" w:eastAsia="Arial" w:hAnsi="Arial"/>
          <w:sz w:val="24"/>
          <w:szCs w:val="24"/>
        </w:rPr>
        <w:t xml:space="preserve">и недвижимого имущества в сельской местности до 2010 года".</w:t>
      </w:r>
    </w:p>
    <w:p>
      <w:r>
        <w:rPr>
          <w:rFonts w:ascii="Arial" w:cs="Arial" w:eastAsia="Arial" w:hAnsi="Arial"/>
          <w:sz w:val="24"/>
          <w:szCs w:val="24"/>
        </w:rPr>
        <w:t xml:space="preserve">3.  Контроль 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  развития   агропромышленного  комплекса  и  природопользования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amx3wqh6tviqwp5qf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dalil.kg/document/56152</w:t>
      </w:r>
    </w:hyperlink>
  </w:p>
  <w:p>
    <w:pPr>
      <w:spacing w:after="0" w:before="40"/>
      <w:jc w:val="center"/>
    </w:pPr>
    <w:hyperlink w:history="1" r:id="rIdirkftr7ja7-4n12hcpb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7gxkag8chmmbgi0oetp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amx3wqh6tviqwp5qfmx" Type="http://schemas.openxmlformats.org/officeDocument/2006/relationships/hyperlink" Target="https://dalil.kg/document/56152" TargetMode="External"/><Relationship Id="rIdirkftr7ja7-4n12hcpb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2026-09-24T12:49:40.282Z</dcterms:created>
  <dcterms:modified xsi:type="dcterms:W3CDTF">2026-09-24T12:49:40.282Z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