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z3dtjtksvvzbrzqd0e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ноября 2005 года N 538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Кыргызской части Межгосударственной комиссии по военно-экономическому сотрудничеству Организации Договора о коллективной безопасности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hglkdbubdlplgrbztf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2016 года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объединения и координации усилий государств-членов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(далее - ОДКБ) по дальнейшему углублению и совершенствованию многостороннего сотрудничества и развитию интеграции в области разработки и производства продукции военного назначения, а также использованию технологий двойного назначения (применения) при производстве продукции военного и гражданского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Кыргызская часть Межгосударственной комиссии по военно-экономическому сотрудничеству ОДКБ (далее - Комиссия), образованная постановлением Правительства Кыргызской Республики, руководствуется в своей деятельности </w:t>
      </w:r>
      <w:hyperlink w:history="1" r:id="rId0z4eqkdnb82peaphip6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Уставом</w:t>
      </w:r>
      <w:r>
        <w:rPr>
          <w:rFonts w:ascii="Arial" w:cs="Arial" w:eastAsia="Arial" w:hAnsi="Arial"/>
          <w:sz w:val="24"/>
          <w:szCs w:val="24"/>
        </w:rPr>
        <w:t xml:space="preserve"> ОДКБ, международными договорами и решениями, принятыми в рамках ОДКБ, настоящим Положением, а также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Основные задачи и функции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решений принятых на заседаниях Межгосударственной комиссии по военно-экономическому сотрудничеству ОДКБ;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военно-экономического сотрудничества Кыргызской Республики с государствами-участниками ОДКБ.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Исходя из основных задач, Комиссия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разрабатывает, согласовывает и определяет механизм решения конкретных проблем многостороннего, а также двустороннего сотрудничества с государствами-участниками ОДКБ;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перспективный план работы Комиссии и готовит предложения по вопросам военно-экономического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подготовкой и реализацией международных договоров, долгосрочных программ и решений, принятых в рамках ОДКБ в области военно-экономического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при необходимости специалистов государственных органов, организаций, предприятий и представителей негосударственных организаций к решению вопросов многостороннего, а также двустороннего сотрудничества в рамках ОДКБ.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Полномочия и права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решения поставленных задач и в рамках своих полномочий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работу, связанную с подготовкой очередных заседаний Комиссии, контролирует выполнение решений, принимаемых на заседаниях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Правительство Кыргызской Республики по вопросам, связанным с подготовкой к заседаниям Комиссии, и мерам, принимаемым по решению возникших проблем.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решения по оперативному урегулированию двусторонних и многосторонних отношений в рамках ОДКБ;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и негосударственных организаций Кыргызской Республики информацию, необходимую для работы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созывать оперативные совещания с участием руководителей и экспертов государственных органов, организаций, а также негосударственных организаций по вопросам заседаний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Состав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формируется из числа руководителей государственных органов или их заместителей, в ведении которых находятся вопросы военно-технического сотрудничества. Комиссию возглавляет вице-премьер-министр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Комиссии утверждается распоряжением 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tyovnrbtc2bl2ww0sr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2016 года № 296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Председателю Комиссии предоставляется право привлекать к работе Комиссии представителей государственных и негосударственных организаций в зависимости от приоритетных направлений работы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определяет степень ответственности, полномочия и обязанности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решения вопросов в рамках работы Комиссии могут создаваться временные экспертные группы.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Организация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Комиссии проводятся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Ответственность за организацию проведения заседаний и выполнение возложенных на Комиссию задач несет председатель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Подготовка проектов документов для проведения заседаний Комиссии осуществляется ответственным секретарем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расходов, связанных с командированием и содержанием участников заседаний Межгосударственной комиссии по военно-экономическому сотрудничеству ОДКБ, а также проведением заседаний, конференций и совещаний Комиссии на территории Кыргызской Республики осуществляется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tyvkmnkmz21qxr24d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dalil.kg/document/56671</w:t>
      </w:r>
    </w:hyperlink>
  </w:p>
  <w:p>
    <w:pPr>
      <w:spacing w:after="0" w:before="40"/>
      <w:jc w:val="center"/>
    </w:pPr>
    <w:hyperlink w:history="1" r:id="rIdt30jzt4ml0k4dkypfyd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3dtjtksvvzbrzqd0epk" Type="http://schemas.openxmlformats.org/officeDocument/2006/relationships/hyperlink" Target="https://dalil.kg/document/56670" TargetMode="External"/><Relationship Id="rIdnhglkdbubdlplgrbztfr9" Type="http://schemas.openxmlformats.org/officeDocument/2006/relationships/hyperlink" Target="https://dalil.kg/document/98538" TargetMode="External"/><Relationship Id="rId0z4eqkdnb82peaphip6vx" Type="http://schemas.openxmlformats.org/officeDocument/2006/relationships/hyperlink" Target="https://dalil.kg/document/202913" TargetMode="External"/><Relationship Id="rIdvtyovnrbtc2bl2ww0srpd" Type="http://schemas.openxmlformats.org/officeDocument/2006/relationships/hyperlink" Target="https://dalil.kg/document/985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tyvkmnkmz21qxr24drw" Type="http://schemas.openxmlformats.org/officeDocument/2006/relationships/hyperlink" Target="https://dalil.kg/document/56671" TargetMode="External"/><Relationship Id="rIdt30jzt4ml0k4dkypfyd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2026-09-30T16:08:12.231Z</dcterms:created>
  <dcterms:modified xsi:type="dcterms:W3CDTF">2026-09-30T16:08:12.231Z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