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от 13 марта 2006 года № 154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нормативных документов по кадровым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r>
        <w:rPr>
          <w:rFonts w:ascii="Arial" w:cs="Arial" w:eastAsia="Arial" w:hAnsi="Arial"/>
          <w:sz w:val="20"/>
          <w:szCs w:val="20"/>
        </w:rPr>
        <w:t xml:space="preserve">номенклатуре</w:t>
      </w:r>
      <w:r>
        <w:rPr>
          <w:rFonts w:ascii="Arial" w:cs="Arial" w:eastAsia="Arial" w:hAnsi="Arial"/>
          <w:sz w:val="20"/>
          <w:szCs w:val="20"/>
        </w:rPr>
        <w:t xml:space="preserve"> должностей, на которые назначение, утверждение (ос-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вобождение)  осуществляется  распоряжением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  13 марта 2006 года № 154 "Об утверждении нормативных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по кадровым вопросам", позицию двадцать вторую изложить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|Государственное агентство по охране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|окружающей среды и лесному хозяйству|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 Правительстве Кыргызской       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        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                     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               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 по лесному    |       1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|хозяйству и регулирования охотничьих|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|ресурсов                            |     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|Члены коллегии                      |       3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2026-09-23T06:14:41.186Z</dcterms:created>
  <dcterms:modified xsi:type="dcterms:W3CDTF">2026-09-23T06:14:41.186Z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