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goeppci9cli5i1orww2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апреля 2000 года N 213                                Утверждено                     </w:t>
      </w:r>
      <w:hyperlink w:history="1" r:id="rId99u_7_uernbwpzyyzj_p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1998 года N 553                           ВРЕМЕННОЕ ПОЛОЖЕНИЕ           по определению дифференцированных ставок единого              сельскохозяйственного налога за пользование                    сельскохозяйственными угодьями                           1. Общие положения     1. Дифференцированная ставка единого сельскохозяйственного  налогаустанавливается  в  зависимости от качества почв  земельного  участка,которое предварительно оценивается.    2. Ставки налога по территории, подведомственной сельскому кенешу,рассчитываются  проектным  институтом  "Кыргызгипрозем"  совместно   срайонными  управлениями  по землеустройству  и  земельным  ресурсам  ипредставляются в районные кенеши для доведения до сельских кенешей.    3.  Ставки  налога  по  хозяйствующим  субъектам  дифференцируютсясельскими кенешами при методическом содействии районных управлений  поземлеустройству и земельным ресурсам.                   2. Определение баллов бонитета почв     4. При  выявлении качественных изменений в почвенных контурах либонесовпадения  их  с  натурой  (по  засолению,  уровню  грунтовых  вод,каменистости   и   др.)  производится корректировка  материалов  ранеевыполненных почвенных обследований.    5. На  проекты  реорганизации территории хозяйствующих субъектов спочвенной   карты  переносятся  контуры  почвенных  разновидностей   иопределяются   баллы   бонитета  их  в  соответствии  с  методическимиуказаниями по бонитировке почв Кыргызстана (1994 год).    6. Средневзвешенный балл бонитета Бсв по угодьям, подведомственнымсельскому кенешу или землепользователю, рассчитывается по формуле:     Бсв = (Б(1)S(1) + Б(2)S(2) + Б(3)S(3) + ... + Б(n)S(n))/S, где     Б(1)... Б(n) - баллы бонитета почвенных разновидностей или  участ-                                 ков;    S(1)... S(n) - их площади;    S            - общая площадь угодья или хозяйствующего субъекта.    7. Результаты оценки почв согласовываются  с  сельскими  кенешами,районными   управлениями  по  землеустройству и земельным  ресурсам  иутверждаются районными кенешами.               3. Расчет дифференцированных ставок единого                     сельскохозяйственного налога     8.  Определение  ставок  единого сельскохозяйственного  налога  потерриториям,   подведомственным  сельским  кенешам  или  хозяйствующимсубъектам, осуществляется по формуле:     Н = Бсв х Цб х Д х С, где     Н   - ставка сельскохозяйственного налога (сомов/га),  исчисляемая             по каждому виду сельскохозяйственных угодий;    Бсв - балл бонитета почв по видам угодий;    Цб  - цена одного балла,  выраженная в центнерах зерновых единиц и                       составляющая по угодьям:  --------------------------------------------------------------------             Области               |      Пашня  |Сено-|Паст-|Многолетние                                                        |-------------|косы |бища |насаждения                                                         |ороша-|богар-|     |     |                                   |емая  |ная   |     |     |  ---------------------------------|------|------|-----|-----|--------  Таласская                        | 0,51 | 0,45 |     |     |  Чуйская                          | 0,57 | 0,57 |     |     |  Иссык-Кульская                   | 0,47 | 0,53 |     |     |  Нарынская                        | 0,37 | 0,47 |     |     |  Ошская:                          |      |      |     |     |    хлопковая зона                 | 0,60 | 0,52 |     |     |    табачная зона                  | 0,52 | 0,52 |     |     |    горная зона                    | 0,42 | 0,52 |     |     |  Джалал-Абадская:                 |      |      |     |     |    хлопковая зона                 | 0,59 | 0,52 |     |     |    табачная зона                  | 0,52 | 0,52 |     |     |    горная зона                    | 0,42 | 0,52 |     |     |  Республика                       |      |      | 0,14| 0,05|   0,28  --------------------------------------------------------------------    Д   - доля сельскохозяйственного налога в нормативном урожае:         для пашни орошаемой и многолетних насаждений - 0,05;       для пашни богарной, залежей, сенокосов и пастбищ - 0,025;    С   - среднерыночная цена 1 центнера зерна пшеницы в сомах с  уче-                     том годовых темпов инфляции.    9. Средневзвешенные  расчетные ставки сельскохозяйственного налогапо  административным районам,  полученные исходя из  значений  его  потерриториям,   подведомственным  сельским  кенешам  или  хозяйствующимсубъектам,  могут отличаться от базовых ставок,  утвержденных  ЖогоркуКенешем   Кыргызской   Республики  или  районным   кенешем.    Поэтомудифференцированные  в  разрезе территорий,  подведомственных  сельскимкенешам  или хозяйствующим субъектам,  ставки корректируются с  учетомпоправочного коэффициента,  определяемого как отношение базовой ставкипо  району  или   территории,  подведомственной сельскому  кенешу,   красчетной, а также установленных льгот.    10.   К  ставкам  единого  сельскохозяйственного  налога  вводятсяпоправочные коэффициенты за аренду пастбищ и сенокосов:    -   присельных  и  других  интенсивно  используемых  -   2,0   (неприменяется   для   владельцев  крупного  рогатого   скота   молочногонаправления);    - отгонных - 0,3.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zd6mdebxyar5mrkuwf5p">
      <w:r>
        <w:rPr>
          <w:rFonts w:ascii="Arial" w:cs="Arial" w:eastAsia="Arial" w:hAnsi="Arial"/>
          <w:color w:val="132D3F"/>
          <w:sz w:val="16"/>
          <w:szCs w:val="16"/>
          <w:u w:val="single"/>
        </w:rPr>
        <w:t xml:space="preserve">dalil.kg/document/5778</w:t>
      </w:r>
    </w:hyperlink>
  </w:p>
  <w:p>
    <w:pPr>
      <w:spacing w:after="0" w:before="40"/>
      <w:jc w:val="center"/>
    </w:pPr>
    <w:hyperlink w:history="1" r:id="rIdv5c2e-gqpt6infox8ma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oeppci9cli5i1orww2h" Type="http://schemas.openxmlformats.org/officeDocument/2006/relationships/hyperlink" Target="https://dalil.kg/document/7241" TargetMode="External"/><Relationship Id="rId99u_7_uernbwpzyyzj_p1" Type="http://schemas.openxmlformats.org/officeDocument/2006/relationships/hyperlink" Target="https://dalil.kg/document/57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zd6mdebxyar5mrkuwf5p" Type="http://schemas.openxmlformats.org/officeDocument/2006/relationships/hyperlink" Target="https://dalil.kg/document/5778" TargetMode="External"/><Relationship Id="rIdv5c2e-gqpt6infox8ma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2026-09-24T00:46:30.749Z</dcterms:created>
  <dcterms:modified xsi:type="dcterms:W3CDTF">2026-09-24T00:46:30.749Z</dcterms:modified>
</cp:coreProperties>
</file>

<file path=docProps/custom.xml><?xml version="1.0" encoding="utf-8"?>
<Properties xmlns="http://schemas.openxmlformats.org/officeDocument/2006/custom-properties" xmlns:vt="http://schemas.openxmlformats.org/officeDocument/2006/docPropsVTypes"/>
</file>