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сентября 2006 года № 674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 в 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твенности".</w:t>
      </w:r>
    </w:p>
    <w:p>
      <w:r>
        <w:rPr>
          <w:rFonts w:ascii="Arial" w:cs="Arial" w:eastAsia="Arial" w:hAnsi="Arial"/>
          <w:sz w:val="24"/>
          <w:szCs w:val="24"/>
        </w:rPr>
        <w:t xml:space="preserve">2. Направить  указанный  законопроект  в  Жогорку Кенеш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производству,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хранению и реализации спирта и алкогольной продукции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официальным представителем Правительства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 при рассмотрении указанного законопроекта Жогорку  Кене-</w:t>
      </w:r>
    </w:p>
    <w:p>
      <w:r>
        <w:rPr>
          <w:rFonts w:ascii="Arial" w:cs="Arial" w:eastAsia="Arial" w:hAnsi="Arial"/>
          <w:sz w:val="24"/>
          <w:szCs w:val="24"/>
        </w:rPr>
        <w:t xml:space="preserve">шем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2026-09-23T08:56:03.624Z</dcterms:created>
  <dcterms:modified xsi:type="dcterms:W3CDTF">2026-09-23T08:56:03.624Z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