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w:t>
      </w:r>
      <w:hyperlink w:history="1" r:id="rIdh1yedv7zrq_ovweu7gmg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октября 2006 год №756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оборота боевого ручного стрелкового оружия, боеприпасов к нему, а также холодного оружия в государственных военизированных организациях</w:t>
      </w:r>
    </w:p>
    <w:p>
      <w:pPr>
        <w:spacing w:after="12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ypwnli_zh5d6_ojhkaj6x">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w:t>
      </w:r>
      <w:hyperlink w:history="1" r:id="rIdptlknpk74d3i_-tzrea1a">
        <w:r>
          <w:rPr>
            <w:rFonts w:ascii="Arial" w:cs="Arial" w:eastAsia="Arial" w:hAnsi="Arial"/>
            <w:i/>
            <w:iCs/>
            <w:color w:val="1D4ED8"/>
            <w:sz w:val="24"/>
            <w:szCs w:val="24"/>
            <w:u w:val="single"/>
          </w:rPr>
          <w:t xml:space="preserve">24 сентября 2008 года № 528</w:t>
        </w:r>
      </w:hyperlink>
      <w:r>
        <w:rPr>
          <w:rFonts w:ascii="Arial" w:cs="Arial" w:eastAsia="Arial" w:hAnsi="Arial"/>
          <w:i/>
          <w:iCs/>
          <w:sz w:val="24"/>
          <w:szCs w:val="24"/>
        </w:rPr>
        <w:t xml:space="preserve">, 
 </w:t>
      </w:r>
      <w:hyperlink w:history="1" r:id="rIdfhw7a5ilg_coywloxiuzr">
        <w:r>
          <w:rPr>
            <w:rFonts w:ascii="Arial" w:cs="Arial" w:eastAsia="Arial" w:hAnsi="Arial"/>
            <w:i/>
            <w:iCs/>
            <w:color w:val="1D4ED8"/>
            <w:sz w:val="24"/>
            <w:szCs w:val="24"/>
            <w:u w:val="single"/>
          </w:rPr>
          <w:t xml:space="preserve">2 февраля 2010 года № 52</w:t>
        </w:r>
      </w:hyperlink>
      <w:r>
        <w:rPr>
          <w:rFonts w:ascii="Arial" w:cs="Arial" w:eastAsia="Arial" w:hAnsi="Arial"/>
          <w:i/>
          <w:iCs/>
          <w:sz w:val="24"/>
          <w:szCs w:val="24"/>
        </w:rPr>
        <w:t xml:space="preserve">, </w:t>
      </w:r>
      <w:hyperlink w:history="1" r:id="rIdlwjjhgxbi6orai6i2hvfs">
        <w:r>
          <w:rPr>
            <w:rFonts w:ascii="Arial" w:cs="Arial" w:eastAsia="Arial" w:hAnsi="Arial"/>
            <w:i/>
            <w:iCs/>
            <w:color w:val="1D4ED8"/>
            <w:sz w:val="24"/>
            <w:szCs w:val="24"/>
            <w:u w:val="single"/>
          </w:rPr>
          <w:t xml:space="preserve">2 апреля 2010 года № 204</w:t>
        </w:r>
      </w:hyperlink>
      <w:r>
        <w:rPr>
          <w:rFonts w:ascii="Arial" w:cs="Arial" w:eastAsia="Arial" w:hAnsi="Arial"/>
          <w:i/>
          <w:iCs/>
          <w:sz w:val="24"/>
          <w:szCs w:val="24"/>
        </w:rPr>
        <w:t xml:space="preserve">, </w:t>
      </w:r>
      <w:hyperlink w:history="1" r:id="rIdtenc7unfh7btr1ukcwtrw">
        <w:r>
          <w:rPr>
            <w:rFonts w:ascii="Arial" w:cs="Arial" w:eastAsia="Arial" w:hAnsi="Arial"/>
            <w:i/>
            <w:iCs/>
            <w:color w:val="1D4ED8"/>
            <w:sz w:val="24"/>
            <w:szCs w:val="24"/>
            <w:u w:val="single"/>
          </w:rPr>
          <w:t xml:space="preserve">13 июня 2011 года № 305</w:t>
        </w:r>
      </w:hyperlink>
      <w:r>
        <w:rPr>
          <w:rFonts w:ascii="Arial" w:cs="Arial" w:eastAsia="Arial" w:hAnsi="Arial"/>
          <w:i/>
          <w:iCs/>
          <w:sz w:val="24"/>
          <w:szCs w:val="24"/>
        </w:rPr>
        <w:t xml:space="preserve">,</w:t>
      </w:r>
      <w:hyperlink w:history="1" r:id="rIdsyyajopty-mwuf5mkwez0">
        <w:r>
          <w:rPr>
            <w:rFonts w:ascii="Arial" w:cs="Arial" w:eastAsia="Arial" w:hAnsi="Arial"/>
            <w:i/>
            <w:iCs/>
            <w:color w:val="1D4ED8"/>
            <w:sz w:val="24"/>
            <w:szCs w:val="24"/>
            <w:u w:val="single"/>
          </w:rPr>
          <w:t xml:space="preserve">26 июня 2012 года №440</w:t>
        </w:r>
      </w:hyperlink>
      <w:r>
        <w:rPr>
          <w:rFonts w:ascii="Arial" w:cs="Arial" w:eastAsia="Arial" w:hAnsi="Arial"/>
          <w:i/>
          <w:iCs/>
          <w:sz w:val="24"/>
          <w:szCs w:val="24"/>
        </w:rPr>
        <w:t xml:space="preserve">, 
 </w:t>
      </w:r>
      <w:hyperlink w:history="1" r:id="rIdl8ns02df_zg6tx0ukaigd">
        <w:r>
          <w:rPr>
            <w:rFonts w:ascii="Arial" w:cs="Arial" w:eastAsia="Arial" w:hAnsi="Arial"/>
            <w:i/>
            <w:iCs/>
            <w:color w:val="1D4ED8"/>
            <w:sz w:val="24"/>
            <w:szCs w:val="24"/>
            <w:u w:val="single"/>
          </w:rPr>
          <w:t xml:space="preserve">18 февраля 2013 года № 79</w:t>
        </w:r>
      </w:hyperlink>
      <w:r>
        <w:rPr>
          <w:rFonts w:ascii="Arial" w:cs="Arial" w:eastAsia="Arial" w:hAnsi="Arial"/>
          <w:i/>
          <w:iCs/>
          <w:sz w:val="24"/>
          <w:szCs w:val="24"/>
        </w:rPr>
        <w:t xml:space="preserve">, </w:t>
      </w:r>
      <w:hyperlink w:history="1" r:id="rIdq6yuilsq7uzxpbyn554bn">
        <w:r>
          <w:rPr>
            <w:rFonts w:ascii="Arial" w:cs="Arial" w:eastAsia="Arial" w:hAnsi="Arial"/>
            <w:i/>
            <w:iCs/>
            <w:color w:val="1D4ED8"/>
            <w:sz w:val="24"/>
            <w:szCs w:val="24"/>
            <w:u w:val="single"/>
          </w:rPr>
          <w:t xml:space="preserve">14 июня 2013 года № 354</w:t>
        </w:r>
      </w:hyperlink>
      <w:r>
        <w:rPr>
          <w:rFonts w:ascii="Arial" w:cs="Arial" w:eastAsia="Arial" w:hAnsi="Arial"/>
          <w:i/>
          <w:iCs/>
          <w:sz w:val="24"/>
          <w:szCs w:val="24"/>
        </w:rPr>
        <w:t xml:space="preserve">, </w:t>
      </w:r>
      <w:hyperlink w:history="1" r:id="rIdlpc0boy1pgf5nws_8glx9">
        <w:r>
          <w:rPr>
            <w:rFonts w:ascii="Arial" w:cs="Arial" w:eastAsia="Arial" w:hAnsi="Arial"/>
            <w:i/>
            <w:iCs/>
            <w:color w:val="1D4ED8"/>
            <w:sz w:val="24"/>
            <w:szCs w:val="24"/>
            <w:u w:val="single"/>
          </w:rPr>
          <w:t xml:space="preserve">21 января 2014 года № 42</w:t>
        </w:r>
      </w:hyperlink>
      <w:r>
        <w:rPr>
          <w:rFonts w:ascii="Arial" w:cs="Arial" w:eastAsia="Arial" w:hAnsi="Arial"/>
          <w:i/>
          <w:iCs/>
          <w:sz w:val="24"/>
          <w:szCs w:val="24"/>
        </w:rPr>
        <w:t xml:space="preserve">, </w:t>
      </w:r>
      <w:hyperlink w:history="1" r:id="rIdwyanwkfoc_1loah_qy2te">
        <w:r>
          <w:rPr>
            <w:rFonts w:ascii="Arial" w:cs="Arial" w:eastAsia="Arial" w:hAnsi="Arial"/>
            <w:i/>
            <w:iCs/>
            <w:color w:val="1D4ED8"/>
            <w:sz w:val="24"/>
            <w:szCs w:val="24"/>
            <w:u w:val="single"/>
          </w:rPr>
          <w:t xml:space="preserve">18 февраля 2015 года № 71</w:t>
        </w:r>
      </w:hyperlink>
      <w:r>
        <w:rPr>
          <w:rFonts w:ascii="Arial" w:cs="Arial" w:eastAsia="Arial" w:hAnsi="Arial"/>
          <w:i/>
          <w:iCs/>
          <w:sz w:val="24"/>
          <w:szCs w:val="24"/>
        </w:rPr>
        <w:t xml:space="preserve">, </w:t>
      </w:r>
      <w:hyperlink w:history="1" r:id="rIdn6jjxztnhp5ktcof3vlfg">
        <w:r>
          <w:rPr>
            <w:rFonts w:ascii="Arial" w:cs="Arial" w:eastAsia="Arial" w:hAnsi="Arial"/>
            <w:i/>
            <w:iCs/>
            <w:color w:val="1D4ED8"/>
            <w:sz w:val="24"/>
            <w:szCs w:val="24"/>
            <w:u w:val="single"/>
          </w:rPr>
          <w:t xml:space="preserve">3 февраля 2017 года № 65</w:t>
        </w:r>
      </w:hyperlink>
      <w:r>
        <w:rPr>
          <w:rFonts w:ascii="Arial" w:cs="Arial" w:eastAsia="Arial" w:hAnsi="Arial"/>
          <w:i/>
          <w:iCs/>
          <w:sz w:val="24"/>
          <w:szCs w:val="24"/>
        </w:rPr>
        <w:t xml:space="preserve">, </w:t>
      </w:r>
      <w:hyperlink w:history="1" r:id="rIdtfu_uzpbdnh3yi-9rkh38">
        <w:r>
          <w:rPr>
            <w:rFonts w:ascii="Arial" w:cs="Arial" w:eastAsia="Arial" w:hAnsi="Arial"/>
            <w:i/>
            <w:iCs/>
            <w:color w:val="1D4ED8"/>
            <w:sz w:val="24"/>
            <w:szCs w:val="24"/>
            <w:u w:val="single"/>
          </w:rPr>
          <w:t xml:space="preserve">28 августа 2023 года № 435</w:t>
        </w:r>
      </w:hyperlink>
      <w:r>
        <w:rPr>
          <w:rFonts w:ascii="Arial" w:cs="Arial" w:eastAsia="Arial" w:hAnsi="Arial"/>
          <w:i/>
          <w:iCs/>
          <w:sz w:val="24"/>
          <w:szCs w:val="24"/>
        </w:rPr>
        <w:t xml:space="preserve">, </w:t>
      </w:r>
      <w:hyperlink w:history="1" r:id="rIdeolwl3nxqokgw0jy258oe">
        <w:r>
          <w:rPr>
            <w:rFonts w:ascii="Arial" w:cs="Arial" w:eastAsia="Arial" w:hAnsi="Arial"/>
            <w:i/>
            <w:iCs/>
            <w:color w:val="1D4ED8"/>
            <w:sz w:val="24"/>
            <w:szCs w:val="24"/>
            <w:u w:val="single"/>
          </w:rPr>
          <w:t xml:space="preserve">6 июня 2026 года № 400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Общие положения</w:t>
      </w:r>
    </w:p>
    <w:p>
      <w:pPr>
        <w:spacing w:after="120"/>
        <w:jc w:val="both"/>
      </w:pPr>
      <w:r>
        <w:rPr>
          <w:rFonts w:ascii="Arial" w:cs="Arial" w:eastAsia="Arial" w:hAnsi="Arial"/>
          <w:sz w:val="24"/>
          <w:szCs w:val="24"/>
        </w:rPr>
        <w:t xml:space="preserve"> 2. Продажа, передача и приобретение оружия</w:t>
      </w:r>
    </w:p>
    <w:p>
      <w:pPr>
        <w:spacing w:after="120"/>
        <w:jc w:val="both"/>
      </w:pPr>
      <w:r>
        <w:rPr>
          <w:rFonts w:ascii="Arial" w:cs="Arial" w:eastAsia="Arial" w:hAnsi="Arial"/>
          <w:sz w:val="24"/>
          <w:szCs w:val="24"/>
        </w:rPr>
        <w:t xml:space="preserve"> 3. Коллекционирование и экспонирование оружия</w:t>
      </w:r>
    </w:p>
    <w:p>
      <w:pPr>
        <w:spacing w:after="120"/>
        <w:jc w:val="both"/>
      </w:pPr>
      <w:r>
        <w:rPr>
          <w:rFonts w:ascii="Arial" w:cs="Arial" w:eastAsia="Arial" w:hAnsi="Arial"/>
          <w:sz w:val="24"/>
          <w:szCs w:val="24"/>
        </w:rPr>
        <w:t xml:space="preserve"> 4. Учет, хранение и ношение оружия</w:t>
      </w:r>
    </w:p>
    <w:p>
      <w:pPr>
        <w:spacing w:after="120"/>
        <w:jc w:val="both"/>
      </w:pPr>
      <w:r>
        <w:rPr>
          <w:rFonts w:ascii="Arial" w:cs="Arial" w:eastAsia="Arial" w:hAnsi="Arial"/>
          <w:sz w:val="24"/>
          <w:szCs w:val="24"/>
        </w:rPr>
        <w:t xml:space="preserve"> 5. Перевозка и транспортирование оружия</w:t>
      </w:r>
    </w:p>
    <w:p>
      <w:pPr>
        <w:spacing w:after="120"/>
        <w:jc w:val="both"/>
      </w:pPr>
      <w:r>
        <w:rPr>
          <w:rFonts w:ascii="Arial" w:cs="Arial" w:eastAsia="Arial" w:hAnsi="Arial"/>
          <w:sz w:val="24"/>
          <w:szCs w:val="24"/>
        </w:rPr>
        <w:t xml:space="preserve"> 6. Изъятие и уничтожение оружия</w:t>
      </w:r>
    </w:p>
    <w:p>
      <w:pPr>
        <w:spacing w:after="120"/>
        <w:jc w:val="both"/>
      </w:pPr>
      <w:r>
        <w:rPr>
          <w:rFonts w:ascii="Arial" w:cs="Arial" w:eastAsia="Arial" w:hAnsi="Arial"/>
          <w:sz w:val="24"/>
          <w:szCs w:val="24"/>
        </w:rPr>
        <w:t xml:space="preserve"> 7. Вывоз из Кыргызской Республики и ввоз на территорию Кыргызской Республики оружия</w:t>
      </w:r>
    </w:p>
    <w:p>
      <w:pPr>
        <w:spacing w:after="120"/>
        <w:jc w:val="both"/>
      </w:pPr>
      <w:r>
        <w:rPr>
          <w:rFonts w:ascii="Arial" w:cs="Arial" w:eastAsia="Arial" w:hAnsi="Arial"/>
          <w:sz w:val="24"/>
          <w:szCs w:val="24"/>
        </w:rPr>
        <w:t xml:space="preserve">8. Контроль за оборотом оружия</w:t>
      </w:r>
    </w:p>
    <w:p>
      <w:pPr>
        <w:spacing w:after="120"/>
        <w:jc w:val="both"/>
      </w:pPr>
      <w:r>
        <w:rPr>
          <w:rFonts w:ascii="Arial" w:cs="Arial" w:eastAsia="Arial" w:hAnsi="Arial"/>
          <w:sz w:val="24"/>
          <w:szCs w:val="24"/>
        </w:rPr>
        <w:t xml:space="preserve">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регулируют оборот боевого ручного стрелкового оружия, боеприпасов к нему, а также холодного оружия (далее - оружие), его производство, продажу, передачу, приобретение, ремонт, учет, хранение, ношение, транспортировку, использование, изъятие, уничтожение, экспорт и импорт оружия, а также ввоз на территорию Кыргызской Республики единичных экземпляров оружия.</w:t>
      </w:r>
    </w:p>
    <w:p>
      <w:pPr>
        <w:spacing w:after="60"/>
        <w:ind w:firstLine="425"/>
        <w:jc w:val="both"/>
      </w:pPr>
      <w:r>
        <w:rPr>
          <w:rFonts w:ascii="Arial" w:cs="Arial" w:eastAsia="Arial" w:hAnsi="Arial"/>
          <w:sz w:val="24"/>
          <w:szCs w:val="24"/>
        </w:rPr>
        <w:t xml:space="preserve">Оборот оружия осуществляется в воинских частях и организациях Министерства обороны Кыргызской Республики, Министерства внутренних дел Кыргызской Республики, Министерства чрезвычайных ситуаций Кыргызской Республики, Государственного комитета национальной безопасности Кыргызской Республики, уполномоченного государственного органа в сфере охраны Государственной границы, органа государственной охраны, государственного органа уголовно-исполнительной системы Кыргызской Республики, уполномоченном государственном органе в сфере таможенного дела, специальных службах Национального банка Кыргызской Республики, службах судебных приставов Кыргызской Республики (далее - государственные военизированные организации и специальные службы).</w:t>
      </w:r>
    </w:p>
    <w:p>
      <w:pPr>
        <w:spacing w:after="60"/>
        <w:ind w:firstLine="425"/>
        <w:jc w:val="both"/>
      </w:pPr>
      <w:r>
        <w:rPr>
          <w:rFonts w:ascii="Arial" w:cs="Arial" w:eastAsia="Arial" w:hAnsi="Arial"/>
          <w:i/>
          <w:iCs/>
          <w:sz w:val="24"/>
          <w:szCs w:val="24"/>
        </w:rPr>
        <w:t xml:space="preserve">(В редакции постановлений Правительства КР от  </w:t>
      </w:r>
      <w:hyperlink w:history="1" r:id="rId7limhkwtdyb2qir9j0ugo">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w:t>
      </w:r>
      <w:hyperlink w:history="1" r:id="rIdyrd5jl68doymzvojntqsn">
        <w:r>
          <w:rPr>
            <w:rFonts w:ascii="Arial" w:cs="Arial" w:eastAsia="Arial" w:hAnsi="Arial"/>
            <w:i/>
            <w:iCs/>
            <w:color w:val="1D4ED8"/>
            <w:sz w:val="24"/>
            <w:szCs w:val="24"/>
            <w:u w:val="single"/>
          </w:rPr>
          <w:t xml:space="preserve">24 сентября 2008 года № 528</w:t>
        </w:r>
      </w:hyperlink>
      <w:r>
        <w:rPr>
          <w:rFonts w:ascii="Arial" w:cs="Arial" w:eastAsia="Arial" w:hAnsi="Arial"/>
          <w:i/>
          <w:iCs/>
          <w:sz w:val="24"/>
          <w:szCs w:val="24"/>
        </w:rPr>
        <w:t xml:space="preserve">,</w:t>
      </w:r>
      <w:hyperlink w:history="1" r:id="rIdtm3lkr_o2lrdy2o5k2tqb">
        <w:r>
          <w:rPr>
            <w:rFonts w:ascii="Arial" w:cs="Arial" w:eastAsia="Arial" w:hAnsi="Arial"/>
            <w:i/>
            <w:iCs/>
            <w:color w:val="1D4ED8"/>
            <w:sz w:val="24"/>
            <w:szCs w:val="24"/>
            <w:u w:val="single"/>
          </w:rPr>
          <w:t xml:space="preserve"> 2 февраля 2010 года № 52</w:t>
        </w:r>
      </w:hyperlink>
      <w:r>
        <w:rPr>
          <w:rFonts w:ascii="Arial" w:cs="Arial" w:eastAsia="Arial" w:hAnsi="Arial"/>
          <w:i/>
          <w:iCs/>
          <w:sz w:val="24"/>
          <w:szCs w:val="24"/>
        </w:rPr>
        <w:t xml:space="preserve">,</w:t>
      </w:r>
      <w:hyperlink w:history="1" r:id="rIddry8pzrrx1huqivka8by6">
        <w:r>
          <w:rPr>
            <w:rFonts w:ascii="Arial" w:cs="Arial" w:eastAsia="Arial" w:hAnsi="Arial"/>
            <w:i/>
            <w:iCs/>
            <w:color w:val="1D4ED8"/>
            <w:sz w:val="24"/>
            <w:szCs w:val="24"/>
            <w:u w:val="single"/>
          </w:rPr>
          <w:t xml:space="preserve">13 июня 2011 года № 305</w:t>
        </w:r>
      </w:hyperlink>
      <w:r>
        <w:rPr>
          <w:rFonts w:ascii="Arial" w:cs="Arial" w:eastAsia="Arial" w:hAnsi="Arial"/>
          <w:i/>
          <w:iCs/>
          <w:sz w:val="24"/>
          <w:szCs w:val="24"/>
        </w:rPr>
        <w:t xml:space="preserve">, </w:t>
      </w:r>
      <w:hyperlink w:history="1" r:id="rIdxdxzrmuuferu3ou6fgsbz">
        <w:r>
          <w:rPr>
            <w:rFonts w:ascii="Arial" w:cs="Arial" w:eastAsia="Arial" w:hAnsi="Arial"/>
            <w:i/>
            <w:iCs/>
            <w:color w:val="1D4ED8"/>
            <w:sz w:val="24"/>
            <w:szCs w:val="24"/>
            <w:u w:val="single"/>
          </w:rPr>
          <w:t xml:space="preserve">18 февраля 2013 года № 79</w:t>
        </w:r>
      </w:hyperlink>
      <w:r>
        <w:rPr>
          <w:rFonts w:ascii="Arial" w:cs="Arial" w:eastAsia="Arial" w:hAnsi="Arial"/>
          <w:i/>
          <w:iCs/>
          <w:sz w:val="24"/>
          <w:szCs w:val="24"/>
        </w:rPr>
        <w:t xml:space="preserve">, </w:t>
      </w:r>
      <w:hyperlink w:history="1" r:id="rIdsgh0jq3o483oqsxqs8whd">
        <w:r>
          <w:rPr>
            <w:rFonts w:ascii="Arial" w:cs="Arial" w:eastAsia="Arial" w:hAnsi="Arial"/>
            <w:i/>
            <w:iCs/>
            <w:color w:val="1D4ED8"/>
            <w:sz w:val="24"/>
            <w:szCs w:val="24"/>
            <w:u w:val="single"/>
          </w:rPr>
          <w:t xml:space="preserve">14 июня 2013 года № 354</w:t>
        </w:r>
      </w:hyperlink>
      <w:r>
        <w:rPr>
          <w:rFonts w:ascii="Arial" w:cs="Arial" w:eastAsia="Arial" w:hAnsi="Arial"/>
          <w:i/>
          <w:iCs/>
          <w:sz w:val="24"/>
          <w:szCs w:val="24"/>
        </w:rPr>
        <w:t xml:space="preserve">, </w:t>
      </w:r>
      <w:hyperlink w:history="1" r:id="rIdtewh7of-gqb7bvfgous32">
        <w:r>
          <w:rPr>
            <w:rFonts w:ascii="Arial" w:cs="Arial" w:eastAsia="Arial" w:hAnsi="Arial"/>
            <w:i/>
            <w:iCs/>
            <w:color w:val="1D4ED8"/>
            <w:sz w:val="24"/>
            <w:szCs w:val="24"/>
            <w:u w:val="single"/>
          </w:rPr>
          <w:t xml:space="preserve">21 января 2014 года № 42</w:t>
        </w:r>
      </w:hyperlink>
      <w:r>
        <w:rPr>
          <w:rFonts w:ascii="Arial" w:cs="Arial" w:eastAsia="Arial" w:hAnsi="Arial"/>
          <w:i/>
          <w:iCs/>
          <w:sz w:val="24"/>
          <w:szCs w:val="24"/>
        </w:rPr>
        <w:t xml:space="preserve">, </w:t>
      </w:r>
      <w:hyperlink w:history="1" r:id="rIdvtw-ycnwpfiaw7duv0ykf">
        <w:r>
          <w:rPr>
            <w:rFonts w:ascii="Arial" w:cs="Arial" w:eastAsia="Arial" w:hAnsi="Arial"/>
            <w:i/>
            <w:iCs/>
            <w:color w:val="1D4ED8"/>
            <w:sz w:val="24"/>
            <w:szCs w:val="24"/>
            <w:u w:val="single"/>
          </w:rPr>
          <w:t xml:space="preserve">3 февраля 2017 года № 65</w:t>
        </w:r>
      </w:hyperlink>
      <w:r>
        <w:rPr>
          <w:rFonts w:ascii="Arial" w:cs="Arial" w:eastAsia="Arial" w:hAnsi="Arial"/>
          <w:i/>
          <w:iCs/>
          <w:sz w:val="24"/>
          <w:szCs w:val="24"/>
        </w:rPr>
        <w:t xml:space="preserve">,</w:t>
      </w:r>
      <w:hyperlink w:history="1" r:id="rIdj1vdom2jgozwcgpxl4of8">
        <w:r>
          <w:rPr>
            <w:rFonts w:ascii="Arial" w:cs="Arial" w:eastAsia="Arial" w:hAnsi="Arial"/>
            <w:i/>
            <w:iCs/>
            <w:color w:val="1D4ED8"/>
            <w:sz w:val="24"/>
            <w:szCs w:val="24"/>
            <w:u w:val="single"/>
          </w:rPr>
          <w:t xml:space="preserve">28 августа 2023 года № 435</w:t>
        </w:r>
      </w:hyperlink>
      <w:r>
        <w:rPr>
          <w:rFonts w:ascii="Arial" w:cs="Arial" w:eastAsia="Arial" w:hAnsi="Arial"/>
          <w:i/>
          <w:iCs/>
          <w:sz w:val="24"/>
          <w:szCs w:val="24"/>
        </w:rPr>
        <w:t xml:space="preserve">, </w:t>
      </w:r>
      <w:hyperlink w:history="1" r:id="rId5mpzb82uwzutfwlzkq0r2">
        <w:r>
          <w:rPr>
            <w:rFonts w:ascii="Arial" w:cs="Arial" w:eastAsia="Arial" w:hAnsi="Arial"/>
            <w:i/>
            <w:iCs/>
            <w:color w:val="1D4ED8"/>
            <w:sz w:val="24"/>
            <w:szCs w:val="24"/>
            <w:u w:val="single"/>
          </w:rPr>
          <w:t xml:space="preserve">6 июня 2026 года № 400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2. Продажа, передача и приобретение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Государственная военизированная организация или специальная служба имеет право:</w:t>
      </w:r>
    </w:p>
    <w:p>
      <w:pPr>
        <w:spacing w:after="120"/>
        <w:jc w:val="both"/>
      </w:pPr>
      <w:r>
        <w:rPr>
          <w:rFonts w:ascii="Arial" w:cs="Arial" w:eastAsia="Arial" w:hAnsi="Arial"/>
          <w:sz w:val="24"/>
          <w:szCs w:val="24"/>
        </w:rPr>
        <w:t xml:space="preserve">а) передавать имеющееся у нее на вооружении огнестрельное оружие и боеприпасы к нему, а также  холодное оружие другой государственной военизированной организации или специальной службе, являющейся резидентом Кыргызской Республики.</w:t>
      </w:r>
    </w:p>
    <w:p>
      <w:pPr>
        <w:spacing w:after="120"/>
        <w:jc w:val="both"/>
      </w:pPr>
      <w:r>
        <w:rPr>
          <w:rFonts w:ascii="Arial" w:cs="Arial" w:eastAsia="Arial" w:hAnsi="Arial"/>
          <w:sz w:val="24"/>
          <w:szCs w:val="24"/>
        </w:rPr>
        <w:t xml:space="preserve">При этом передача оружия и боеприпасов осуществляется на основании межведомственного приказа с согласия уполномоченного органа по управлению государственным имуществом на основании акта приема (передачи), составляемого представителями соответствующих государственных военизированных организаций и (или) специальных служб;</w:t>
      </w:r>
    </w:p>
    <w:p>
      <w:pPr>
        <w:spacing w:after="120"/>
        <w:jc w:val="both"/>
      </w:pPr>
      <w:r>
        <w:rPr>
          <w:rFonts w:ascii="Arial" w:cs="Arial" w:eastAsia="Arial" w:hAnsi="Arial"/>
          <w:sz w:val="24"/>
          <w:szCs w:val="24"/>
        </w:rPr>
        <w:t xml:space="preserve">б) продавать с согласия уполномоченного органа по управлению государственным имуществом имеющиеся у нее на вооружении огнестрельное оружие и боеприпасы к нему, а также  холодное оружие юридическим лицам,  наделенным в установленном порядке правом на торговлю соответствующими видами оружия и боеприпасов;</w:t>
      </w:r>
    </w:p>
    <w:p>
      <w:pPr>
        <w:spacing w:after="120"/>
        <w:jc w:val="both"/>
      </w:pPr>
      <w:r>
        <w:rPr>
          <w:rFonts w:ascii="Arial" w:cs="Arial" w:eastAsia="Arial" w:hAnsi="Arial"/>
          <w:sz w:val="24"/>
          <w:szCs w:val="24"/>
        </w:rPr>
        <w:t xml:space="preserve">в) в установленном порядке приобретать оружие и боеприпасы у юридических лиц, имеющих право на его производство и (или) продажу;</w:t>
      </w:r>
    </w:p>
    <w:p>
      <w:pPr>
        <w:spacing w:after="120"/>
        <w:jc w:val="both"/>
      </w:pPr>
      <w:r>
        <w:rPr>
          <w:rFonts w:ascii="Arial" w:cs="Arial" w:eastAsia="Arial" w:hAnsi="Arial"/>
          <w:sz w:val="24"/>
          <w:szCs w:val="24"/>
        </w:rPr>
        <w:t xml:space="preserve">г) приобретать оружие у физических лиц, владеющих им на законных основаниях;</w:t>
      </w:r>
    </w:p>
    <w:p>
      <w:pPr>
        <w:spacing w:after="120"/>
        <w:jc w:val="both"/>
      </w:pPr>
      <w:r>
        <w:rPr>
          <w:rFonts w:ascii="Arial" w:cs="Arial" w:eastAsia="Arial" w:hAnsi="Arial"/>
          <w:sz w:val="24"/>
          <w:szCs w:val="24"/>
        </w:rPr>
        <w:t xml:space="preserve">д) принимать оружие и (или) боеприпасы у физических лиц добровольно их сдавшим в органы внутренних дел Кыргызской Республики, в том числе за вознаграждение, в случаях и порядке, определяемых Кабинет Министров Кыргызской Республики;</w:t>
      </w:r>
    </w:p>
    <w:p>
      <w:pPr>
        <w:spacing w:after="120"/>
        <w:jc w:val="both"/>
      </w:pPr>
      <w:r>
        <w:rPr>
          <w:rFonts w:ascii="Arial" w:cs="Arial" w:eastAsia="Arial" w:hAnsi="Arial"/>
          <w:sz w:val="24"/>
          <w:szCs w:val="24"/>
        </w:rPr>
        <w:t xml:space="preserve">е) передавать во временное пользование юридическим лицам с особыми уставными задачами боевое ручное стрелковое оружие отдельных типов и моделей для исполнения возложенных на них законом обязанностей;</w:t>
      </w:r>
    </w:p>
    <w:p>
      <w:pPr>
        <w:spacing w:after="120"/>
        <w:jc w:val="both"/>
      </w:pPr>
      <w:r>
        <w:rPr>
          <w:rFonts w:ascii="Arial" w:cs="Arial" w:eastAsia="Arial" w:hAnsi="Arial"/>
          <w:sz w:val="24"/>
          <w:szCs w:val="24"/>
        </w:rPr>
        <w:t xml:space="preserve">ж) временно выдавать короткоствольное оружие отдельным категориям должностных лиц  государственных органов, которым законом разрешено хранение и ношение оружия.</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xxrmxo41j0rwaoo7duca2">
        <w:r>
          <w:rPr>
            <w:rFonts w:ascii="Arial" w:cs="Arial" w:eastAsia="Arial" w:hAnsi="Arial"/>
            <w:i/>
            <w:iCs/>
            <w:color w:val="1D4ED8"/>
            <w:sz w:val="24"/>
            <w:szCs w:val="24"/>
            <w:u w:val="single"/>
          </w:rPr>
          <w:t xml:space="preserve">18 февраля 2015 года № 71</w:t>
        </w:r>
      </w:hyperlink>
      <w:r>
        <w:rPr>
          <w:rFonts w:ascii="Arial" w:cs="Arial" w:eastAsia="Arial" w:hAnsi="Arial"/>
          <w:i/>
          <w:iCs/>
          <w:sz w:val="24"/>
          <w:szCs w:val="24"/>
        </w:rPr>
        <w:t xml:space="preserve">, Кабинета Министров КР от </w:t>
      </w:r>
      <w:hyperlink w:history="1" r:id="rIdwsvkllm3ykwhwz6vbmvdd">
        <w:r>
          <w:rPr>
            <w:rFonts w:ascii="Arial" w:cs="Arial" w:eastAsia="Arial" w:hAnsi="Arial"/>
            <w:i/>
            <w:iCs/>
            <w:color w:val="1D4ED8"/>
            <w:sz w:val="24"/>
            <w:szCs w:val="24"/>
            <w:u w:val="single"/>
          </w:rPr>
          <w:t xml:space="preserve">28 августа 2023 года № 435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Передача оружия и боеприпасов в порядке, предусмотренном подпунктами «е» и «ж» пункта 2 настоящих Правил, осуществляется на основании межведомственного приказа с согласия уполномоченного органа по управлению государственным имуществом на основании акта приема (передачи), составляемого представителями соответствующих государственных военизированных организаций и (или) специальных служб с участием представителя органов внутренних дел Кыргызской Республики.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При передаче оружия и боеприпасов в порядке, определенном подпунктами «а», «е» и «ж» пункта 2 настоящих Правил, производится их осмотр, проверяется количество, комплектность, соответствие номеров и маркировки оружия и боеприпасов данным, содержащимся в акте.</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3</w:t>
      </w:r>
      <w:r>
        <w:rPr>
          <w:rFonts w:ascii="Arial" w:cs="Arial" w:eastAsia="Arial" w:hAnsi="Arial"/>
          <w:sz w:val="24"/>
          <w:szCs w:val="24"/>
        </w:rPr>
        <w:t xml:space="preserve">. Пополнение боеприпасов, израсходованных при исполнении служебных обязанностей либо в ходе учебной стрельбы, осуществляется путем их приобретения за счет средств юридического лица с особыми уставными задачами или государственного органа, которому оружие было передано во временное пользование,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4</w:t>
      </w:r>
      <w:r>
        <w:rPr>
          <w:rFonts w:ascii="Arial" w:cs="Arial" w:eastAsia="Arial" w:hAnsi="Arial"/>
          <w:sz w:val="24"/>
          <w:szCs w:val="24"/>
        </w:rPr>
        <w:t xml:space="preserve">. По каждому случаю применения или использования оружия и расходования боеприпасов юридическим лицом с особыми уставными задачами или государственным органом, которому оружие было передано во временное пользование в порядке, определяемом подпунктами  «е» и «ж» пункта 2 настоящих Правил, составляется акт, копии которого направляются в Министерство внутренних дел Кыргызской Республики и в государственную военизированную организацию или специальную службу, являющуюся собственником оружия.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5</w:t>
      </w:r>
      <w:r>
        <w:rPr>
          <w:rFonts w:ascii="Arial" w:cs="Arial" w:eastAsia="Arial" w:hAnsi="Arial"/>
          <w:sz w:val="24"/>
          <w:szCs w:val="24"/>
        </w:rPr>
        <w:t xml:space="preserve">. В случае необходимости, оружие, переданное во временное пользование в порядке, определяемом подпунктами «е» и «ж» пункта 2 настоящих Правил, на основании письменного обращения собственника подлежит незамедлительному возврату.</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6</w:t>
      </w:r>
      <w:r>
        <w:rPr>
          <w:rFonts w:ascii="Arial" w:cs="Arial" w:eastAsia="Arial" w:hAnsi="Arial"/>
          <w:sz w:val="24"/>
          <w:szCs w:val="24"/>
        </w:rPr>
        <w:t xml:space="preserve">. При выявлении факта нарушения установленных законодательством Кыргызской Республики и настоящими Правилами порядка хранения, ношения, использования и применения оружия, переданного во временное пользование в порядке, определяемом подпунктами «е» и «ж» пункта 2 настоящих Правил, указанное оружие подлежит незамедлительному возврату собственнику.</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7</w:t>
      </w:r>
      <w:r>
        <w:rPr>
          <w:rFonts w:ascii="Arial" w:cs="Arial" w:eastAsia="Arial" w:hAnsi="Arial"/>
          <w:sz w:val="24"/>
          <w:szCs w:val="24"/>
        </w:rPr>
        <w:t xml:space="preserve">. Продажа оружия и боеприпасов в порядке, определяемом подпунктом «б» пункта 2 настоящих Правил, осуществляется по цене, определяемой комиссией на основании средних рыночных цен либо результатов независимой оценки.</w:t>
      </w:r>
    </w:p>
    <w:p>
      <w:pPr>
        <w:spacing w:after="120"/>
        <w:jc w:val="both"/>
      </w:pPr>
      <w:r>
        <w:rPr>
          <w:rFonts w:ascii="Arial" w:cs="Arial" w:eastAsia="Arial" w:hAnsi="Arial"/>
          <w:sz w:val="24"/>
          <w:szCs w:val="24"/>
        </w:rPr>
        <w:t xml:space="preserve">При этом комиссия создается межведомственным приказом, в состав которой входит не менее 5 человек из числа представителей соответствующих государственных военизированных организаций и (или) специальный служб, а также уполномоченных органов, ведающих вопросами государственного имущества, внутренних дел и национальной безопасности.</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8</w:t>
      </w:r>
      <w:r>
        <w:rPr>
          <w:rFonts w:ascii="Arial" w:cs="Arial" w:eastAsia="Arial" w:hAnsi="Arial"/>
          <w:sz w:val="24"/>
          <w:szCs w:val="24"/>
        </w:rPr>
        <w:t xml:space="preserve">. Денежные средства, поступившее от реализации оружия и боеприпасов в порядке, определяемом подпунктом «б» пункта 2 настоящих Правил, подлежат зачислению в республиканский бюджет, кроме случаев, если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 установлен иной порядок.</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gc0ahedte3qci9jad5q-h">
        <w:r>
          <w:rPr>
            <w:rFonts w:ascii="Arial" w:cs="Arial" w:eastAsia="Arial" w:hAnsi="Arial"/>
            <w:i/>
            <w:iCs/>
            <w:color w:val="1D4ED8"/>
            <w:sz w:val="24"/>
            <w:szCs w:val="24"/>
            <w:u w:val="single"/>
          </w:rPr>
          <w:t xml:space="preserve">18 февраля 2015 года № 71</w:t>
        </w:r>
      </w:hyperlink>
      <w:r>
        <w:rPr>
          <w:rFonts w:ascii="Arial" w:cs="Arial" w:eastAsia="Arial" w:hAnsi="Arial"/>
          <w:i/>
          <w:iCs/>
          <w:sz w:val="24"/>
          <w:szCs w:val="24"/>
        </w:rPr>
        <w:t xml:space="preserve">, Кабинета Министров КР от </w:t>
      </w:r>
      <w:hyperlink w:history="1" r:id="rIdsrl4686id9rnfcyuttah_">
        <w:r>
          <w:rPr>
            <w:rFonts w:ascii="Arial" w:cs="Arial" w:eastAsia="Arial" w:hAnsi="Arial"/>
            <w:i/>
            <w:iCs/>
            <w:color w:val="1D4ED8"/>
            <w:sz w:val="24"/>
            <w:szCs w:val="24"/>
            <w:u w:val="single"/>
          </w:rPr>
          <w:t xml:space="preserve">28 августа 2023 года № 435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Руководители государственных военизированных организаций имеют право награждать кортиком, шашкой или саблей лиц офицерского состава, состоящих у них на службе. Награждение оружием оформляется приказом руководителя государственной военизированной организации.</w:t>
      </w:r>
    </w:p>
    <w:p>
      <w:pPr>
        <w:spacing w:after="60"/>
        <w:ind w:firstLine="567"/>
        <w:jc w:val="both"/>
      </w:pPr>
      <w:r>
        <w:rPr>
          <w:rFonts w:ascii="Arial" w:cs="Arial" w:eastAsia="Arial" w:hAnsi="Arial"/>
          <w:sz w:val="24"/>
          <w:szCs w:val="24"/>
        </w:rPr>
        <w:t xml:space="preserve">Награждение другими видами наградного оружия, предусмотренными Законом Кыргызской Республики "Об оружии", лиц офицерского состава, состоящих на службе в государственных военизированных организациях, осуществляется распоряжениями Президента Кыргызской Республики,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Торага Жогорку Кенеша Кыргызской Республики с согласия Координационного совета Жогорку Кенеша Кыргызской Республики.</w:t>
      </w:r>
    </w:p>
    <w:p>
      <w:pPr>
        <w:spacing w:after="120"/>
        <w:jc w:val="both"/>
      </w:pPr>
      <w:r>
        <w:rPr>
          <w:rFonts w:ascii="Arial" w:cs="Arial" w:eastAsia="Arial" w:hAnsi="Arial"/>
          <w:sz w:val="24"/>
          <w:szCs w:val="24"/>
        </w:rPr>
        <w:t xml:space="preserve">Перед вручением наградного нарезного оружия каждый экземпляр с пятью патронами передается в Министерство внутренних дел Кыргызской Республики органом, выдавшим оружие, для контрольного отстрела и помещения отстрелянных пуль и гильз в пулегильзотеку Экспертно-криминалистического центра Министерства внутренних дел Кыргызской Республики.</w:t>
      </w:r>
    </w:p>
    <w:p>
      <w:pPr>
        <w:spacing w:after="120"/>
        <w:jc w:val="both"/>
      </w:pPr>
      <w:r>
        <w:rPr>
          <w:rFonts w:ascii="Arial" w:cs="Arial" w:eastAsia="Arial" w:hAnsi="Arial"/>
          <w:sz w:val="24"/>
          <w:szCs w:val="24"/>
        </w:rPr>
        <w:t xml:space="preserve">В случае непредставления органом, выдавшим оружие, наградного нарезного оружия для отстрела разрешение на его хранение и ношение не выдается.</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ggbjs3iujkkxiet45sr5m">
        <w:r>
          <w:rPr>
            <w:rFonts w:ascii="Arial" w:cs="Arial" w:eastAsia="Arial" w:hAnsi="Arial"/>
            <w:i/>
            <w:iCs/>
            <w:color w:val="1D4ED8"/>
            <w:sz w:val="24"/>
            <w:szCs w:val="24"/>
            <w:u w:val="single"/>
          </w:rPr>
          <w:t xml:space="preserve">26 июня 2012 года № 440</w:t>
        </w:r>
      </w:hyperlink>
      <w:r>
        <w:rPr>
          <w:rFonts w:ascii="Arial" w:cs="Arial" w:eastAsia="Arial" w:hAnsi="Arial"/>
          <w:i/>
          <w:iCs/>
          <w:sz w:val="24"/>
          <w:szCs w:val="24"/>
        </w:rPr>
        <w:t xml:space="preserve">, Кабинета Министров КР от </w:t>
      </w:r>
      <w:hyperlink w:history="1" r:id="rIdrr35murcipgn2g0aaield">
        <w:r>
          <w:rPr>
            <w:rFonts w:ascii="Arial" w:cs="Arial" w:eastAsia="Arial" w:hAnsi="Arial"/>
            <w:i/>
            <w:iCs/>
            <w:color w:val="1D4ED8"/>
            <w:sz w:val="24"/>
            <w:szCs w:val="24"/>
            <w:u w:val="single"/>
          </w:rPr>
          <w:t xml:space="preserve">28 августа 2023 года № 435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Государственные военизированные организации вправе продавать боеприпасы лицам, награжденным в соответствии с законодательством Кыргызской Республики именным огнестрельным оружием, в комплекте, определяемом данной организацией, по установленным ценам за наличный расчет. Реализация боеприпасов на соответствующий вид именного огнестрельного оружия производится гражданам Кыргызской Республики на основании соответствующих разрешений, выдаваемых Министерством внутренних дел Кыргызской Республики.</w:t>
      </w:r>
    </w:p>
    <w:p>
      <w:pPr>
        <w:spacing w:after="120"/>
        <w:jc w:val="both"/>
      </w:pPr>
      <w:r>
        <w:rPr>
          <w:rFonts w:ascii="Arial" w:cs="Arial" w:eastAsia="Arial" w:hAnsi="Arial"/>
          <w:sz w:val="24"/>
          <w:szCs w:val="24"/>
        </w:rPr>
        <w:t xml:space="preserve">5. Продажа, передача и приобретение оружия должны оформляться документами установленного образца, перечень, форма и порядок ведения которых определяются нормативными правовыми актами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vw30rpxrtzuezofsxu8n">
        <w:r>
          <w:rPr>
            <w:rFonts w:ascii="Arial" w:cs="Arial" w:eastAsia="Arial" w:hAnsi="Arial"/>
            <w:color w:val="1D4ED8"/>
            <w:sz w:val="24"/>
            <w:szCs w:val="24"/>
            <w:u w:val="single"/>
          </w:rPr>
          <w:t xml:space="preserve">14 июня 2013 года № 354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Из огнестрельного оружия с нарезным стволом, находящегося на вооружении государственных военизированных организаций, производится контрольный отстрел для формирования республиканской пулегильзотеки.</w:t>
      </w:r>
    </w:p>
    <w:p>
      <w:pPr>
        <w:spacing w:after="120"/>
        <w:jc w:val="both"/>
      </w:pPr>
      <w:r>
        <w:rPr>
          <w:rFonts w:ascii="Arial" w:cs="Arial" w:eastAsia="Arial" w:hAnsi="Arial"/>
          <w:sz w:val="24"/>
          <w:szCs w:val="24"/>
        </w:rPr>
        <w:t xml:space="preserve">7. Огнестрельное оружие с нарезным стволом приобретается государственными военизированными организациями у юридических лиц, имеющих право на производство, торговлю и ремонт оружия, после проведения ими контрольного отстрела.</w:t>
      </w:r>
    </w:p>
    <w:p>
      <w:pPr>
        <w:spacing w:after="120"/>
        <w:jc w:val="both"/>
      </w:pPr>
      <w:r>
        <w:rPr>
          <w:rFonts w:ascii="Arial" w:cs="Arial" w:eastAsia="Arial" w:hAnsi="Arial"/>
          <w:sz w:val="24"/>
          <w:szCs w:val="24"/>
        </w:rPr>
        <w:t xml:space="preserve">Без проведения контрольного отстрела разрешается приобретение огнестрельного оружия с нарезным стволом только у другой государственной военизированной организации.</w:t>
      </w:r>
    </w:p>
    <w:p>
      <w:pPr>
        <w:spacing w:after="120"/>
        <w:jc w:val="both"/>
      </w:pPr>
      <w:r>
        <w:rPr>
          <w:rFonts w:ascii="Arial" w:cs="Arial" w:eastAsia="Arial" w:hAnsi="Arial"/>
          <w:sz w:val="24"/>
          <w:szCs w:val="24"/>
        </w:rPr>
        <w:t xml:space="preserve">8. Контрольный отстрел из огнестрельного оружия с нарезным стволом производится также при проведении капитального ремонта этого оружия.</w:t>
      </w:r>
    </w:p>
    <w:p>
      <w:pPr>
        <w:spacing w:after="120"/>
        <w:jc w:val="both"/>
      </w:pPr>
      <w:r>
        <w:rPr>
          <w:rFonts w:ascii="Arial" w:cs="Arial" w:eastAsia="Arial" w:hAnsi="Arial"/>
          <w:sz w:val="24"/>
          <w:szCs w:val="24"/>
        </w:rPr>
        <w:t xml:space="preserve">По разрешению руководителей государственных военизированных организаций контрольный отстрел может быть произведен на других стадиях оборота оружия.</w:t>
      </w:r>
    </w:p>
    <w:p>
      <w:pPr>
        <w:spacing w:after="120"/>
        <w:jc w:val="both"/>
      </w:pPr>
      <w:r>
        <w:rPr>
          <w:rFonts w:ascii="Arial" w:cs="Arial" w:eastAsia="Arial" w:hAnsi="Arial"/>
          <w:sz w:val="24"/>
          <w:szCs w:val="24"/>
        </w:rPr>
        <w:t xml:space="preserve">9. Технические требования к контрольному отстрелу из огнестрельного оружия с нарезным стволом, его документальное оформление, правила учета, хранения и передачи пуль и гильз в республиканскую пулегильзотеку, а также порядок списания и уничтожения (утилизации) отработанных пуль и гильз определяются Министерством внутренних дел Кыргызской Республики по согласованию с государственными военизированными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Коллекционирование и экспонирование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Коллекционирование и экспонирование оружия имеют право осуществлять музеи, экспертные и специально созданные для этих целей учреждения государственных военизированных организаций.</w:t>
      </w:r>
    </w:p>
    <w:p>
      <w:pPr>
        <w:spacing w:after="120"/>
        <w:jc w:val="both"/>
      </w:pPr>
      <w:r>
        <w:rPr>
          <w:rFonts w:ascii="Arial" w:cs="Arial" w:eastAsia="Arial" w:hAnsi="Arial"/>
          <w:sz w:val="24"/>
          <w:szCs w:val="24"/>
        </w:rPr>
        <w:t xml:space="preserve">Коллекции оружия подлежат регистрации в государственных военизированных организациях и должны быть приведены в состояние, непригодное для производства выстрела.</w:t>
      </w:r>
    </w:p>
    <w:p>
      <w:pPr>
        <w:spacing w:after="120"/>
        <w:jc w:val="both"/>
      </w:pPr>
      <w:r>
        <w:rPr>
          <w:rFonts w:ascii="Arial" w:cs="Arial" w:eastAsia="Arial" w:hAnsi="Arial"/>
          <w:sz w:val="24"/>
          <w:szCs w:val="24"/>
        </w:rPr>
        <w:t xml:space="preserve">11. Государственные военизированные организации имеют право передавать, продавать для коллекционирования и экспонирования оружие, информация о котором не относится к сведениям, составляющим государственную тайну.</w:t>
      </w:r>
    </w:p>
    <w:p>
      <w:pPr>
        <w:spacing w:after="120"/>
        <w:jc w:val="both"/>
      </w:pPr>
      <w:r>
        <w:rPr>
          <w:rFonts w:ascii="Arial" w:cs="Arial" w:eastAsia="Arial" w:hAnsi="Arial"/>
          <w:sz w:val="24"/>
          <w:szCs w:val="24"/>
        </w:rPr>
        <w:t xml:space="preserve">В музеи, экспертные и специально созданные для этих целей учреждения Вооруженных Сил Кыргызской Республики, органов внутренних дел и Службы национальной безопасности Кыргызской Республики оружие может передаваться без охолощения или приведения в учебный вид, а юридическим лицам и гражданам, имеющим разрешение на коллекционирование и экспонирование, передается охолощенное или приведенное в учебный вид оружие.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Учет, хранение и ношение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Государственные военизированные организации и специальные службы обязаны вести учет оружия, который заключается в ведении документов установленного образца. Перечень этих документов, их форма и порядок ведения определяются нормативными правовыми актами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tdu4anr3bzuiquww0w-c8">
        <w:r>
          <w:rPr>
            <w:rFonts w:ascii="Arial" w:cs="Arial" w:eastAsia="Arial" w:hAnsi="Arial"/>
            <w:color w:val="1D4ED8"/>
            <w:sz w:val="24"/>
            <w:szCs w:val="24"/>
            <w:u w:val="single"/>
          </w:rPr>
          <w:t xml:space="preserve">14 июня 2013 года № 354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Разрешение на право хранения и ношения наградного оружия выдается Министерством внутренних дел Кыргызской Республики.</w:t>
      </w:r>
    </w:p>
    <w:p>
      <w:pPr>
        <w:spacing w:after="120"/>
        <w:jc w:val="both"/>
      </w:pPr>
      <w:r>
        <w:rPr>
          <w:rFonts w:ascii="Arial" w:cs="Arial" w:eastAsia="Arial" w:hAnsi="Arial"/>
          <w:sz w:val="24"/>
          <w:szCs w:val="24"/>
        </w:rPr>
        <w:t xml:space="preserve">При перемене места жительства лица, награжденные оружием, должны обратиться с заявлением в Министерство внутренних дел Кыргызской Республики с указанием нового места жительства.</w:t>
      </w:r>
    </w:p>
    <w:p>
      <w:pPr>
        <w:spacing w:after="120"/>
        <w:jc w:val="both"/>
      </w:pPr>
      <w:r>
        <w:rPr>
          <w:rFonts w:ascii="Arial" w:cs="Arial" w:eastAsia="Arial" w:hAnsi="Arial"/>
          <w:sz w:val="24"/>
          <w:szCs w:val="24"/>
        </w:rPr>
        <w:t xml:space="preserve">14. Военнослужащие и сотрудники государственных военизированных организаций, получившие в установленном порядке наградное оружие, обязаны обеспечить надлежащие условия его хранения. Органы внутренних дел по месту жительства сотрудников государственных военизированных организаций имеют право проверять условия хранения зарегистрированного ими оружия.</w:t>
      </w:r>
    </w:p>
    <w:p>
      <w:pPr>
        <w:spacing w:after="120"/>
        <w:jc w:val="both"/>
      </w:pPr>
      <w:r>
        <w:rPr>
          <w:rFonts w:ascii="Arial" w:cs="Arial" w:eastAsia="Arial" w:hAnsi="Arial"/>
          <w:sz w:val="24"/>
          <w:szCs w:val="24"/>
        </w:rPr>
        <w:t xml:space="preserve">15. В случае утраты наградного оружия военнослужащие и сотрудники государственных военизированных организаций обязаны незамедлительно заявить об этом в органы внутренних дел.</w:t>
      </w:r>
    </w:p>
    <w:p>
      <w:pPr>
        <w:spacing w:after="120"/>
        <w:jc w:val="both"/>
      </w:pPr>
      <w:r>
        <w:rPr>
          <w:rFonts w:ascii="Arial" w:cs="Arial" w:eastAsia="Arial" w:hAnsi="Arial"/>
          <w:sz w:val="24"/>
          <w:szCs w:val="24"/>
        </w:rPr>
        <w:t xml:space="preserve">16. Хранение оружия в государственных военизированных организациях и специальных службах должно осуществляться только в специально оборудованных для этих целей помещениях. Помещения для хранения оружия оборудуются техническими средствами охраны и пожарной безопасности.</w:t>
      </w:r>
    </w:p>
    <w:p>
      <w:pPr>
        <w:spacing w:after="120"/>
        <w:jc w:val="both"/>
      </w:pPr>
      <w:r>
        <w:rPr>
          <w:rFonts w:ascii="Arial" w:cs="Arial" w:eastAsia="Arial" w:hAnsi="Arial"/>
          <w:sz w:val="24"/>
          <w:szCs w:val="24"/>
        </w:rPr>
        <w:t xml:space="preserve">Требования к хранению оружия, в зависимости от его предназначения, определяются соответствующими нормативными правовыми актами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yt0bkjbv3oxjbr_0kves">
        <w:r>
          <w:rPr>
            <w:rFonts w:ascii="Arial" w:cs="Arial" w:eastAsia="Arial" w:hAnsi="Arial"/>
            <w:color w:val="1D4ED8"/>
            <w:sz w:val="24"/>
            <w:szCs w:val="24"/>
            <w:u w:val="single"/>
          </w:rPr>
          <w:t xml:space="preserve">14 июня 2013 года № 354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О всех случаях утраты, порчи или выхода из строя оружия военнослужащие и сотрудники государственных военизированных организаций обязаны докладывать своим непосредственным (прямым) начальникам, которые в свою очередь информируют органы внутренних дел, а в необходимых случаях - территориальные органы национальной безопасности Кыргызской Республики и органы прокуратуры об обстоятельствах утраты оружия с указанием модели, калибра, серии, номера, года выпуска каждой единицы, организуют дознание или расследование и принимают меры по розыску похищенного или утраченного оружия.</w:t>
      </w:r>
    </w:p>
    <w:p>
      <w:pPr>
        <w:spacing w:after="120"/>
        <w:jc w:val="both"/>
      </w:pPr>
      <w:r>
        <w:rPr>
          <w:rFonts w:ascii="Arial" w:cs="Arial" w:eastAsia="Arial" w:hAnsi="Arial"/>
          <w:sz w:val="24"/>
          <w:szCs w:val="24"/>
        </w:rPr>
        <w:t xml:space="preserve">18. Утраченное оружие списывается с учета государственных военизированных организаций и специальных служб в порядке, установленном нормативными правовыми актами Кыргызской Республики, после получения справки в Информационном центре Министерства внутренних дел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zsnpnveigg2-vsfcrfmiw">
        <w:r>
          <w:rPr>
            <w:rFonts w:ascii="Arial" w:cs="Arial" w:eastAsia="Arial" w:hAnsi="Arial"/>
            <w:color w:val="1D4ED8"/>
            <w:sz w:val="24"/>
            <w:szCs w:val="24"/>
            <w:u w:val="single"/>
          </w:rPr>
          <w:t xml:space="preserve">14 июня 2013 года № 354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В случае возвращения утраченного оружия в воинскую часть или подразделение государственной военизированной организации их руководители в течение 3 дней обязаны доложить об этом своему непосредственному (прямому) руководителю, а также сообщить государственным органам, осуществляющим разбирательство по факту хищения или утраты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Перевозка и транспортирование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Перевозка и транспортирование оружия воздушным, железнодорожным, водным, автомобильным и другими видами транспорта производится под вооруженной охраной с оформлением соответствующих документов установленного образца, форма и порядок которых определяется нормативными правовыми актами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1pgr2nz_lmmby_vnum0t">
        <w:r>
          <w:rPr>
            <w:rFonts w:ascii="Arial" w:cs="Arial" w:eastAsia="Arial" w:hAnsi="Arial"/>
            <w:color w:val="1D4ED8"/>
            <w:sz w:val="24"/>
            <w:szCs w:val="24"/>
            <w:u w:val="single"/>
          </w:rPr>
          <w:t xml:space="preserve">14 июня 2013 года № 354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Оружие при перевозке и транспортировании должно находиться в разряженном состоянии отдельно от боеприпасов. Оружие и боеприпасы должны быть упакованы в специальную тару, которая опечатывается или опломбируется.</w:t>
      </w:r>
    </w:p>
    <w:p>
      <w:pPr>
        <w:spacing w:after="120"/>
        <w:jc w:val="both"/>
      </w:pPr>
      <w:r>
        <w:rPr>
          <w:rFonts w:ascii="Arial" w:cs="Arial" w:eastAsia="Arial" w:hAnsi="Arial"/>
          <w:sz w:val="24"/>
          <w:szCs w:val="24"/>
        </w:rPr>
        <w:t xml:space="preserve">22. В случае обнаружения признаков вскрытия транспортного средства, перевозящего оружие, повреждения тары, нарушения оттисков печатей или пломб старший вооруженной охраны обязан немедленно сообщить об этом военному коменданту железнодорожного (водного) участка или станции, начальнику станции, органам внутренних дел на транспорте, составить акт, принять необходимые меры по устранению причин случившегося и обеспечить охрану места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Изъятие и уничтожение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Изъятие оружия у военнослужащих и сотрудников государственных военизированных организаций и специальных служб может производиться представителями соответствующих организаций, уполномоченными осуществлять контроль за оборотом оружия,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24. Оружие, снятое с вооружения, а также пришедшее в негодность, подлежит списанию с оформлением соответствующего акта. Акт о списании оружия составляется комиссией, состав которой определяется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m6lqlrc35jhkc3ffwnokn">
        <w:r>
          <w:rPr>
            <w:rFonts w:ascii="Arial" w:cs="Arial" w:eastAsia="Arial" w:hAnsi="Arial"/>
            <w:color w:val="1D4ED8"/>
            <w:sz w:val="24"/>
            <w:szCs w:val="24"/>
            <w:u w:val="single"/>
          </w:rPr>
          <w:t xml:space="preserve">14 июня 2013 года № 354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Списанное оружие подлежит утилизации и уничтожению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owv0c5au0pmudd-c6i6b">
        <w:r>
          <w:rPr>
            <w:rFonts w:ascii="Arial" w:cs="Arial" w:eastAsia="Arial" w:hAnsi="Arial"/>
            <w:color w:val="1D4ED8"/>
            <w:sz w:val="24"/>
            <w:szCs w:val="24"/>
            <w:u w:val="single"/>
          </w:rPr>
          <w:t xml:space="preserve">14 июня 2013 года № 354</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6</w:t>
      </w:r>
      <w:r>
        <w:rPr>
          <w:rFonts w:ascii="Arial" w:cs="Arial" w:eastAsia="Arial" w:hAnsi="Arial"/>
          <w:b/>
          <w:bCs/>
          <w:sz w:val="32"/>
          <w:szCs w:val="32"/>
        </w:rPr>
        <w:t xml:space="preserve">1</w:t>
      </w:r>
      <w:r>
        <w:rPr>
          <w:rFonts w:ascii="Arial" w:cs="Arial" w:eastAsia="Arial" w:hAnsi="Arial"/>
          <w:b/>
          <w:bCs/>
          <w:sz w:val="32"/>
          <w:szCs w:val="32"/>
        </w:rPr>
        <w:t xml:space="preserve">. Производство, ремонт оружия и боеприпасов</w:t>
      </w:r>
    </w:p>
    <w:p>
      <w:pPr>
        <w:spacing w:after="200"/>
        <w:jc w:val="center"/>
      </w:pPr>
      <w:r>
        <w:rPr>
          <w:rFonts w:ascii="Arial" w:cs="Arial" w:eastAsia="Arial" w:hAnsi="Arial"/>
          <w:i/>
          <w:iCs/>
          <w:sz w:val="24"/>
          <w:szCs w:val="24"/>
        </w:rPr>
        <w:t xml:space="preserve">(Глава в редакциипостановления Кабинета Министров КР от </w:t>
      </w:r>
      <w:hyperlink w:history="1" r:id="rIdrzkq-keshqfwe-vn2le6e">
        <w:r>
          <w:rPr>
            <w:rFonts w:ascii="Arial" w:cs="Arial" w:eastAsia="Arial" w:hAnsi="Arial"/>
            <w:i/>
            <w:iCs/>
            <w:color w:val="1D4ED8"/>
            <w:sz w:val="24"/>
            <w:szCs w:val="24"/>
            <w:u w:val="single"/>
          </w:rPr>
          <w:t xml:space="preserve">28 августа 2023 года № 435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w:t>
      </w:r>
      <w:r>
        <w:rPr>
          <w:rFonts w:ascii="Arial" w:cs="Arial" w:eastAsia="Arial" w:hAnsi="Arial"/>
          <w:sz w:val="24"/>
          <w:szCs w:val="24"/>
        </w:rPr>
        <w:t xml:space="preserve">1</w:t>
      </w:r>
      <w:r>
        <w:rPr>
          <w:rFonts w:ascii="Arial" w:cs="Arial" w:eastAsia="Arial" w:hAnsi="Arial"/>
          <w:sz w:val="24"/>
          <w:szCs w:val="24"/>
        </w:rPr>
        <w:t xml:space="preserve">. Снаряжение боеприпасов в государственных военизированных организациях и специальных службах может осуществляться в рамках обеспечения собственных нужд, в целях качественного и бесперебойного снабжения боеприпасами подразделений, на основании соответствующего внутриведомственного акта, регулирующего порядок снаряжения боеприпасов.</w:t>
      </w:r>
    </w:p>
    <w:p>
      <w:pPr>
        <w:spacing w:after="60"/>
        <w:ind w:firstLine="567"/>
        <w:jc w:val="both"/>
      </w:pPr>
      <w:r>
        <w:rPr>
          <w:rFonts w:ascii="Arial" w:cs="Arial" w:eastAsia="Arial" w:hAnsi="Arial"/>
          <w:i/>
          <w:iCs/>
          <w:sz w:val="24"/>
          <w:szCs w:val="24"/>
        </w:rPr>
        <w:t xml:space="preserve">(В редакциипостановления Кабинета Министров КР от </w:t>
      </w:r>
      <w:hyperlink w:history="1" r:id="rIdwrhm15t75cxvdqfa2b_8x">
        <w:r>
          <w:rPr>
            <w:rFonts w:ascii="Arial" w:cs="Arial" w:eastAsia="Arial" w:hAnsi="Arial"/>
            <w:i/>
            <w:iCs/>
            <w:color w:val="1D4ED8"/>
            <w:sz w:val="24"/>
            <w:szCs w:val="24"/>
            <w:u w:val="single"/>
          </w:rPr>
          <w:t xml:space="preserve">28 августа 2023 года № 435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25-2. Государственные военизированные организации и специальные службы могут приобретать и использовать оборудование, предназначенное для обслуживания и ремонта оружия и приборов, измерения параметров оружия и боеприпасов, запасные части, механизмы и другие необходимые материалы для ремонта, обслуживания и модернизации стрелкового оружия, приобретать оборудование для снаряжения патронов, а также комплектующие для снаряжения патронов (гильза, порох, капсюль).</w:t>
      </w:r>
    </w:p>
    <w:p>
      <w:pPr>
        <w:spacing w:after="60"/>
        <w:ind w:firstLine="567"/>
        <w:jc w:val="both"/>
      </w:pPr>
      <w:r>
        <w:rPr>
          <w:rFonts w:ascii="Arial" w:cs="Arial" w:eastAsia="Arial" w:hAnsi="Arial"/>
          <w:i/>
          <w:iCs/>
          <w:sz w:val="24"/>
          <w:szCs w:val="24"/>
        </w:rPr>
        <w:t xml:space="preserve">(В редакциипостановления Кабинета Министров КР от </w:t>
      </w:r>
      <w:hyperlink w:history="1" r:id="rIdlrffjcml4jhuohwj-uroo">
        <w:r>
          <w:rPr>
            <w:rFonts w:ascii="Arial" w:cs="Arial" w:eastAsia="Arial" w:hAnsi="Arial"/>
            <w:i/>
            <w:iCs/>
            <w:color w:val="1D4ED8"/>
            <w:sz w:val="24"/>
            <w:szCs w:val="24"/>
            <w:u w:val="single"/>
          </w:rPr>
          <w:t xml:space="preserve">28 августа 2023 года № 435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25-3. Ремонт и модернизация боевого ручного оружия, а также сборка патронов из составных частей боеприпасов может осуществляться в государственных военизированных организациях и специальных службах, а также организациях, имеющих соответствующую лицензию, установленную </w:t>
      </w:r>
      <w:hyperlink w:history="1" r:id="rIdlnmwdk7nbjhgzuteu7sj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i/>
          <w:iCs/>
          <w:sz w:val="24"/>
          <w:szCs w:val="24"/>
        </w:rPr>
        <w:t xml:space="preserve">(В редакциипостановления Кабинета Министров КР от </w:t>
      </w:r>
      <w:hyperlink w:history="1" r:id="rId12pk2tligrqznrhnregif">
        <w:r>
          <w:rPr>
            <w:rFonts w:ascii="Arial" w:cs="Arial" w:eastAsia="Arial" w:hAnsi="Arial"/>
            <w:i/>
            <w:iCs/>
            <w:color w:val="1D4ED8"/>
            <w:sz w:val="24"/>
            <w:szCs w:val="24"/>
            <w:u w:val="single"/>
          </w:rPr>
          <w:t xml:space="preserve">28 августа 2023 года № 435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Вывоз из Кыргызской Республики и ввоз на территорию Кыргызской Республики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Вывоз из Кыргызской Республики и ввоз на территорию Кыргызской Республики оружия военнослужащими и сотрудниками государственных военизированных организаций для выполнения служебных обязанностей осуществляется на основании документа, подтверждающего право ношения оружия и командировочного удостоверения, в котором указывается вывозимое (ввозимое) оружие. Указанный документ вместе с копией командировочного удостоверения предъявляется в таможенный орган, расположенный в пункте пропуска через государственную границу Кыргызской Республики. Копия командировочного удостоверения после ее сверки с подлинником заверяется сотрудником таможенного органа путем проставления номерной печати и остается в деле таможенного органа, осуществляющего таможенное оформление вывозимого (ввозимого) оружия.</w:t>
      </w:r>
    </w:p>
    <w:p>
      <w:pPr>
        <w:spacing w:after="120"/>
        <w:jc w:val="both"/>
      </w:pPr>
      <w:r>
        <w:rPr>
          <w:rFonts w:ascii="Arial" w:cs="Arial" w:eastAsia="Arial" w:hAnsi="Arial"/>
          <w:sz w:val="24"/>
          <w:szCs w:val="24"/>
        </w:rPr>
        <w:t xml:space="preserve">27. Ввоз на территорию Кыргызской Республики и вывоз из Кыргызской Республики оружия сотрудниками иностранных военизированных организаций и спецслужб, прибывающими в Кыргызскую Республику по приглашению или в связи со служебной необходимостью, производятся по разрешению Министерства внутренних дел Кыргызской Республики.</w:t>
      </w:r>
    </w:p>
    <w:p>
      <w:pPr>
        <w:spacing w:after="120"/>
        <w:jc w:val="both"/>
      </w:pPr>
      <w:r>
        <w:rPr>
          <w:rFonts w:ascii="Arial" w:cs="Arial" w:eastAsia="Arial" w:hAnsi="Arial"/>
          <w:sz w:val="24"/>
          <w:szCs w:val="24"/>
        </w:rPr>
        <w:t xml:space="preserve">Ввоз на территорию Кыргызской Республики и вывоз с территории Кыргызской Республики оружия и боеприпасов к нему сотрудниками иностранных военизированных организаций и специальных служб, сопровождающих глав иностранных государств и глав правительств иностранных государств, иных иностранных государственных, политических, а также общественных деятелей, подлежащих государственной охране, в период их пребывания на территории Кыргызской Республики, а также лицами, прибывающими в Кыргызскую Республику по приглашению органа государственной охраны в связи со служебной необходимостью, производится по разрешению органа государственной охраны.</w:t>
      </w:r>
    </w:p>
    <w:p>
      <w:pPr>
        <w:spacing w:after="120"/>
        <w:jc w:val="both"/>
      </w:pPr>
      <w:r>
        <w:rPr>
          <w:rFonts w:ascii="Arial" w:cs="Arial" w:eastAsia="Arial" w:hAnsi="Arial"/>
          <w:sz w:val="24"/>
          <w:szCs w:val="24"/>
        </w:rPr>
        <w:t xml:space="preserve">В разрешении указываются фамилия, имя, отчество сотрудников иностранных военизированных организаций и специальных служб, тип (марка), номер и калибр оружия, количество боеприпасов к каждой ввозимой единице оружия. Разрешение подписывается руководителем соответствующей службы Министерства внутренних дел Кыргызской Республики, руководителем </w:t>
      </w:r>
      <w:r>
        <w:rPr>
          <w:rFonts w:ascii="Arial" w:cs="Arial" w:eastAsia="Arial" w:hAnsi="Arial"/>
          <w:sz w:val="24"/>
          <w:szCs w:val="24"/>
        </w:rPr>
        <w:t xml:space="preserve">органа государственной охраны</w:t>
      </w:r>
      <w:r>
        <w:rPr>
          <w:rFonts w:ascii="Arial" w:cs="Arial" w:eastAsia="Arial" w:hAnsi="Arial"/>
          <w:sz w:val="24"/>
          <w:szCs w:val="24"/>
        </w:rPr>
        <w:t xml:space="preserve"> либо лицом, его замещающим. Разрешение и его копия предъявляются представителем принимающей стороны в таможенный и пограничный органы, расположенные в пункте пропуска через государственную границу Кыргызской Республики.</w:t>
      </w:r>
    </w:p>
    <w:p>
      <w:pPr>
        <w:spacing w:after="120"/>
        <w:jc w:val="both"/>
      </w:pPr>
      <w:r>
        <w:rPr>
          <w:rFonts w:ascii="Arial" w:cs="Arial" w:eastAsia="Arial" w:hAnsi="Arial"/>
          <w:sz w:val="24"/>
          <w:szCs w:val="24"/>
        </w:rPr>
        <w:t xml:space="preserve">Разрешение и его копия после их сверки заверяются сотрудником таможенного органа путем проставления номерной печати. Копия остается в деле таможенного органа, осуществляющего таможенное оформление ввозимого оружия. При вывозе оружия оригинал разрешения, заверенный таможенным органом при ввозе оружия в Кыргызскую Республику, предъявляется в таможенный и пограничный органы, расположенные в пункте пропуска через государственную границу Кыргызской Республики, и остается в таможенном органе.</w:t>
      </w:r>
    </w:p>
    <w:p>
      <w:pPr>
        <w:spacing w:after="120"/>
        <w:jc w:val="both"/>
      </w:pPr>
      <w:r>
        <w:rPr>
          <w:rFonts w:ascii="Arial" w:cs="Arial" w:eastAsia="Arial" w:hAnsi="Arial"/>
          <w:sz w:val="24"/>
          <w:szCs w:val="24"/>
        </w:rPr>
        <w:t xml:space="preserve">Контроль за порядком хранения, ношения и использования на территории Кыргызской Республики ввезенного оружия осуществляется соответствующей государственной военизированной организацией.</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c3yuucvrybipo1hnkkkal">
        <w:r>
          <w:rPr>
            <w:rFonts w:ascii="Arial" w:cs="Arial" w:eastAsia="Arial" w:hAnsi="Arial"/>
            <w:color w:val="1D4ED8"/>
            <w:sz w:val="24"/>
            <w:szCs w:val="24"/>
            <w:u w:val="single"/>
          </w:rPr>
          <w:t xml:space="preserve">2 апреля 2010 года № 204</w:t>
        </w:r>
      </w:hyperlink>
      <w:r>
        <w:rPr>
          <w:rFonts w:ascii="Arial" w:cs="Arial" w:eastAsia="Arial" w:hAnsi="Arial"/>
          <w:sz w:val="24"/>
          <w:szCs w:val="24"/>
        </w:rPr>
        <w:t xml:space="preserve">, </w:t>
      </w:r>
      <w:hyperlink w:history="1" r:id="rIdryygncefc8d11g-emnsny">
        <w:r>
          <w:rPr>
            <w:rFonts w:ascii="Arial" w:cs="Arial" w:eastAsia="Arial" w:hAnsi="Arial"/>
            <w:color w:val="1D4ED8"/>
            <w:sz w:val="24"/>
            <w:szCs w:val="24"/>
            <w:u w:val="single"/>
          </w:rPr>
          <w:t xml:space="preserve">14 июня 2013 года № 354</w:t>
        </w:r>
      </w:hyperlink>
      <w:r>
        <w:rPr>
          <w:rFonts w:ascii="Arial" w:cs="Arial" w:eastAsia="Arial" w:hAnsi="Arial"/>
          <w:sz w:val="24"/>
          <w:szCs w:val="24"/>
        </w:rPr>
        <w:t xml:space="preserve">, </w:t>
      </w:r>
      <w:hyperlink w:history="1" r:id="rIdk60qyvhvltkvwzr41zxeb">
        <w:r>
          <w:rPr>
            <w:rFonts w:ascii="Arial" w:cs="Arial" w:eastAsia="Arial" w:hAnsi="Arial"/>
            <w:color w:val="1D4ED8"/>
            <w:sz w:val="24"/>
            <w:szCs w:val="24"/>
            <w:u w:val="single"/>
          </w:rPr>
          <w:t xml:space="preserve">6 июня 2026 года № 400</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28. Экспорт и импорт оружия государственными военизированными организациями осуществляются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Контроль за оборотом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Контроль за оборотом оружия в государственных военизированных организациях осуществляется должностными лицами государственных военизированных организаций в пределах их полномочий.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1yedv7zrq_ovweu7gmgi" Type="http://schemas.openxmlformats.org/officeDocument/2006/relationships/hyperlink" Target="http://kodeks.duckdns.org/document/57918" TargetMode="External"/><Relationship Id="rIdypwnli_zh5d6_ojhkaj6x" Type="http://schemas.openxmlformats.org/officeDocument/2006/relationships/hyperlink" Target="http://kodeks.duckdns.org/document/58516" TargetMode="External"/><Relationship Id="rIdptlknpk74d3i_-tzrea1a" Type="http://schemas.openxmlformats.org/officeDocument/2006/relationships/hyperlink" Target="http://kodeks.duckdns.org/document/59438" TargetMode="External"/><Relationship Id="rIdfhw7a5ilg_coywloxiuzr" Type="http://schemas.openxmlformats.org/officeDocument/2006/relationships/hyperlink" Target="http://kodeks.duckdns.org/document/92008" TargetMode="External"/><Relationship Id="rIdlwjjhgxbi6orai6i2hvfs" Type="http://schemas.openxmlformats.org/officeDocument/2006/relationships/hyperlink" Target="http://kodeks.duckdns.org/document/33467" TargetMode="External"/><Relationship Id="rIdtenc7unfh7btr1ukcwtrw" Type="http://schemas.openxmlformats.org/officeDocument/2006/relationships/hyperlink" Target="http://kodeks.duckdns.org/document/95180" TargetMode="External"/><Relationship Id="rIdsyyajopty-mwuf5mkwez0" Type="http://schemas.openxmlformats.org/officeDocument/2006/relationships/hyperlink" Target="http://kodeks.duckdns.org/document/93340" TargetMode="External"/><Relationship Id="rIdl8ns02df_zg6tx0ukaigd" Type="http://schemas.openxmlformats.org/officeDocument/2006/relationships/hyperlink" Target="http://kodeks.duckdns.org/document/94173" TargetMode="External"/><Relationship Id="rIdq6yuilsq7uzxpbyn554bn" Type="http://schemas.openxmlformats.org/officeDocument/2006/relationships/hyperlink" Target="http://kodeks.duckdns.org/document/94495" TargetMode="External"/><Relationship Id="rIdlpc0boy1pgf5nws_8glx9" Type="http://schemas.openxmlformats.org/officeDocument/2006/relationships/hyperlink" Target="http://kodeks.duckdns.org/document/96069" TargetMode="External"/><Relationship Id="rIdwyanwkfoc_1loah_qy2te" Type="http://schemas.openxmlformats.org/officeDocument/2006/relationships/hyperlink" Target="http://kodeks.duckdns.org/document/97329" TargetMode="External"/><Relationship Id="rIdn6jjxztnhp5ktcof3vlfg" Type="http://schemas.openxmlformats.org/officeDocument/2006/relationships/hyperlink" Target="http://kodeks.duckdns.org/document/99775" TargetMode="External"/><Relationship Id="rIdtfu_uzpbdnh3yi-9rkh38" Type="http://schemas.openxmlformats.org/officeDocument/2006/relationships/hyperlink" Target="http://kodeks.duckdns.org/document/230003575" TargetMode="External"/><Relationship Id="rIdeolwl3nxqokgw0jy258oe" Type="http://schemas.openxmlformats.org/officeDocument/2006/relationships/hyperlink" Target="http://kodeks.duckdns.org/document/230047009" TargetMode="External"/><Relationship Id="rId7limhkwtdyb2qir9j0ugo" Type="http://schemas.openxmlformats.org/officeDocument/2006/relationships/hyperlink" Target="http://kodeks.duckdns.org/document/58516" TargetMode="External"/><Relationship Id="rIdyrd5jl68doymzvojntqsn" Type="http://schemas.openxmlformats.org/officeDocument/2006/relationships/hyperlink" Target="http://kodeks.duckdns.org/document/59438" TargetMode="External"/><Relationship Id="rIdtm3lkr_o2lrdy2o5k2tqb" Type="http://schemas.openxmlformats.org/officeDocument/2006/relationships/hyperlink" Target="http://kodeks.duckdns.org/document/92008" TargetMode="External"/><Relationship Id="rIddry8pzrrx1huqivka8by6" Type="http://schemas.openxmlformats.org/officeDocument/2006/relationships/hyperlink" Target="http://kodeks.duckdns.org/document/95180" TargetMode="External"/><Relationship Id="rIdxdxzrmuuferu3ou6fgsbz" Type="http://schemas.openxmlformats.org/officeDocument/2006/relationships/hyperlink" Target="http://kodeks.duckdns.org/document/94173" TargetMode="External"/><Relationship Id="rIdsgh0jq3o483oqsxqs8whd" Type="http://schemas.openxmlformats.org/officeDocument/2006/relationships/hyperlink" Target="http://kodeks.duckdns.org/document/94495" TargetMode="External"/><Relationship Id="rIdtewh7of-gqb7bvfgous32" Type="http://schemas.openxmlformats.org/officeDocument/2006/relationships/hyperlink" Target="http://kodeks.duckdns.org/document/96069" TargetMode="External"/><Relationship Id="rIdvtw-ycnwpfiaw7duv0ykf" Type="http://schemas.openxmlformats.org/officeDocument/2006/relationships/hyperlink" Target="http://kodeks.duckdns.org/document/99775" TargetMode="External"/><Relationship Id="rIdj1vdom2jgozwcgpxl4of8" Type="http://schemas.openxmlformats.org/officeDocument/2006/relationships/hyperlink" Target="http://kodeks.duckdns.org/document/230003575" TargetMode="External"/><Relationship Id="rId5mpzb82uwzutfwlzkq0r2" Type="http://schemas.openxmlformats.org/officeDocument/2006/relationships/hyperlink" Target="http://kodeks.duckdns.org/document/230047009" TargetMode="External"/><Relationship Id="rIdxxrmxo41j0rwaoo7duca2" Type="http://schemas.openxmlformats.org/officeDocument/2006/relationships/hyperlink" Target="http://kodeks.duckdns.org/document/97329" TargetMode="External"/><Relationship Id="rIdwsvkllm3ykwhwz6vbmvdd" Type="http://schemas.openxmlformats.org/officeDocument/2006/relationships/hyperlink" Target="http://kodeks.duckdns.org/document/230003575" TargetMode="External"/><Relationship Id="rIdgc0ahedte3qci9jad5q-h" Type="http://schemas.openxmlformats.org/officeDocument/2006/relationships/hyperlink" Target="http://kodeks.duckdns.org/document/97329" TargetMode="External"/><Relationship Id="rIdsrl4686id9rnfcyuttah_" Type="http://schemas.openxmlformats.org/officeDocument/2006/relationships/hyperlink" Target="http://kodeks.duckdns.org/document/230003575" TargetMode="External"/><Relationship Id="rIdggbjs3iujkkxiet45sr5m" Type="http://schemas.openxmlformats.org/officeDocument/2006/relationships/hyperlink" Target="http://kodeks.duckdns.org/document/93340" TargetMode="External"/><Relationship Id="rIdrr35murcipgn2g0aaield" Type="http://schemas.openxmlformats.org/officeDocument/2006/relationships/hyperlink" Target="http://kodeks.duckdns.org/document/230003575" TargetMode="External"/><Relationship Id="rIdcvw30rpxrtzuezofsxu8n" Type="http://schemas.openxmlformats.org/officeDocument/2006/relationships/hyperlink" Target="http://kodeks.duckdns.org/document/94495" TargetMode="External"/><Relationship Id="rIdtdu4anr3bzuiquww0w-c8" Type="http://schemas.openxmlformats.org/officeDocument/2006/relationships/hyperlink" Target="http://kodeks.duckdns.org/document/94495" TargetMode="External"/><Relationship Id="rIdoyt0bkjbv3oxjbr_0kves" Type="http://schemas.openxmlformats.org/officeDocument/2006/relationships/hyperlink" Target="http://kodeks.duckdns.org/document/94495" TargetMode="External"/><Relationship Id="rIdzsnpnveigg2-vsfcrfmiw" Type="http://schemas.openxmlformats.org/officeDocument/2006/relationships/hyperlink" Target="http://kodeks.duckdns.org/document/94495" TargetMode="External"/><Relationship Id="rIdn1pgr2nz_lmmby_vnum0t" Type="http://schemas.openxmlformats.org/officeDocument/2006/relationships/hyperlink" Target="http://kodeks.duckdns.org/document/94495" TargetMode="External"/><Relationship Id="rIdm6lqlrc35jhkc3ffwnokn" Type="http://schemas.openxmlformats.org/officeDocument/2006/relationships/hyperlink" Target="http://kodeks.duckdns.org/document/94495" TargetMode="External"/><Relationship Id="rIdlowv0c5au0pmudd-c6i6b" Type="http://schemas.openxmlformats.org/officeDocument/2006/relationships/hyperlink" Target="http://kodeks.duckdns.org/document/94495" TargetMode="External"/><Relationship Id="rIdrzkq-keshqfwe-vn2le6e" Type="http://schemas.openxmlformats.org/officeDocument/2006/relationships/hyperlink" Target="http://kodeks.duckdns.org/document/230003575" TargetMode="External"/><Relationship Id="rIdwrhm15t75cxvdqfa2b_8x" Type="http://schemas.openxmlformats.org/officeDocument/2006/relationships/hyperlink" Target="http://kodeks.duckdns.org/document/230003575" TargetMode="External"/><Relationship Id="rIdlrffjcml4jhuohwj-uroo" Type="http://schemas.openxmlformats.org/officeDocument/2006/relationships/hyperlink" Target="http://kodeks.duckdns.org/document/230003575" TargetMode="External"/><Relationship Id="rIdlnmwdk7nbjhgzuteu7sjl" Type="http://schemas.openxmlformats.org/officeDocument/2006/relationships/hyperlink" Target="http://kodeks.duckdns.org/document/205058" TargetMode="External"/><Relationship Id="rId12pk2tligrqznrhnregif" Type="http://schemas.openxmlformats.org/officeDocument/2006/relationships/hyperlink" Target="http://kodeks.duckdns.org/document/230003575" TargetMode="External"/><Relationship Id="rIdc3yuucvrybipo1hnkkkal" Type="http://schemas.openxmlformats.org/officeDocument/2006/relationships/hyperlink" Target="http://kodeks.duckdns.org/document/33467" TargetMode="External"/><Relationship Id="rIdryygncefc8d11g-emnsny" Type="http://schemas.openxmlformats.org/officeDocument/2006/relationships/hyperlink" Target="http://kodeks.duckdns.org/document/94495" TargetMode="External"/><Relationship Id="rIdk60qyvhvltkvwzr41zxeb" Type="http://schemas.openxmlformats.org/officeDocument/2006/relationships/hyperlink" Target="http://kodeks.duckdns.org/document/230047009" TargetMode="External"/><Relationship Id="rId7" Type="http://schemas.openxmlformats.org/officeDocument/2006/relationships/image" Target="media/93bec1c1538034512fe33c1434ae0ea86b639d33.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2026-09-23T09:56:27.276Z</dcterms:created>
  <dcterms:modified xsi:type="dcterms:W3CDTF">2026-09-23T09:56:27.276Z</dcterms:modified>
</cp:coreProperties>
</file>

<file path=docProps/custom.xml><?xml version="1.0" encoding="utf-8"?>
<Properties xmlns="http://schemas.openxmlformats.org/officeDocument/2006/custom-properties" xmlns:vt="http://schemas.openxmlformats.org/officeDocument/2006/docPropsVTypes"/>
</file>