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zufabtkajitibklms528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2007 года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проект Административно-процессуального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Не   согласиться  с  проектом  Административно-процессуального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 инициированным депутатом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Сабировым А.А.,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№24-57/50 от 7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Административно-процессуального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   Кыргызской    Республики,    рассмотрев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Административно-процессуального кодекса Кыргызской Республики,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     Административно-процессуального 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определяет   полномочия   административных    судов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дел  административной юрисдикции,  порядок  обращения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суды  и  порядок  осуществления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 в настоящее время порядок судопроизводства по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  и  экономическим  делам  определяется   </w:t>
      </w:r>
      <w:hyperlink w:history="1" r:id="rIdz7wdr076buuadhep9os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</w:t>
        </w:r>
      </w:hyperlink>
    </w:p>
    <w:p>
      <w:pPr>
        <w:spacing w:after="120"/>
        <w:jc w:val="both"/>
      </w:pPr>
      <w:hyperlink w:history="1" r:id="rId0wl5rrdodvj0iozu4sv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процессуальным 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Республики, 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  порядок  принятия  и исполнения административными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по  осуществлению  административных  функций  и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работы   административных   органов,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обращений  граждан,  индивидуальных  предпринимателей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  по  реализации  или  защите  их  прав  и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   </w:t>
      </w:r>
      <w:hyperlink w:history="1" r:id="rId0szyyh8xd8wxi3zyncp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   «Об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положения  проекта Административного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Кыргызской  Республики  не  соответствуют  правовой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Так,   в  частности,  согласно  статьям  8  и  18  проекта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 и судам будет принадлежать право интерпретации норм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грамматическим, системным, историческим и телеологическим методами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наиболее справедливого и целесообразного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Данные   положения   противоречат  статье  50   </w:t>
      </w:r>
      <w:hyperlink w:history="1" r:id="rIdxq3e66ykbxatblnol8k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нормативных  правовых  актах 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устанавливающей,  что  в  случае  обнаружения  неясностей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актов,   неправильной  или   противоречивой   практики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применения,  необходимые  разъяснения его  норм  дает  правотворческий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 принявший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 68  проекта  Кодекса  определяется,  что  при  обосновании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  акта  учреждение  может  использовать   аргументы,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приведенные   в   опубликованных  судебных  решениях,  юридической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 литературе.  При  этом, в  соответствии  со  статьей  252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Кодекса  суд  в  мотивировочной части  решения  также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вышеназванные материалы в своей аргументации.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  с   тем,  согласно  системе  права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акты должны быть основаны исключительно на положениях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 актах.  Прецендентная  система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Проектом  Кодекса  вводятся понятия «внешний  нормативный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акт» и «внутренний нормативный правовой акт», которые не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 При этом, статьей 1 проекта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  нормативным правовым актам предполагается отнести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законы Кыргызской Республики, указы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постановления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нормативные  правовые  акты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самоуправления, а также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 </w:t>
      </w:r>
      <w:hyperlink w:history="1" r:id="rIdxn7phgtrelgefogeofj8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  Кыргызской  Республики»  определяется  более  широкий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составляющих систему нормативных правовых актов. Так, в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не  нашли  своего  отражения  постановления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акты Национального банка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  и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  того,   положения  проекта  Кодекса  по   применению 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договоров  и международного права  следует  привести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со   статьей  12  </w:t>
      </w:r>
      <w:hyperlink w:history="1" r:id="rIdrrrib4rndx9r_xmfpmc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устанавливающей, что вступившие в установленном законом порядке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договоры  и  соглашения,  участником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  а  также  общепризнанные  принципы  и  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права  являются  составной  частью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Проектом   Кодекса   должностное  лицо  обозначается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учреждения.  Вместе  с  тем, согласно статье 164 </w:t>
      </w:r>
      <w:hyperlink w:history="1" r:id="rIdgcbyje2uswlevymwbre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Гражданского  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учреждением признается государственная  и  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организация, созданная собственником для осуществления управленческих,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социально-культурных  или  иных функций  некоммерческого  характера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финансируемая им полностью или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Статьями  16  и 17 проекта Кодекса предусматривается информирование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 Кыргызской Республики относительно  применимости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 права, в случае возникновения сомнений относительно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нормы  права  норме  права высшей юридической  силы,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внутреннего нормативного акта иному внутреннему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этой  связи  необходимо  отметить,  что,  согласно  </w:t>
      </w:r>
      <w:hyperlink w:history="1" r:id="rIdek0ylhhavkrcwnvf0tl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  юстиции    Кыргызской    Республики,    утвержденному</w:t>
      </w:r>
    </w:p>
    <w:p>
      <w:pPr>
        <w:spacing w:after="120"/>
        <w:jc w:val="both"/>
      </w:pPr>
      <w:hyperlink w:history="1" r:id="rId6igisekvnq3cf3wrxyy_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 декабря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612,  дача вышеуказанных разъяснений не входит в 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 19  проекта Кодекса предусматривается,  что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будет устанавливать порядок и размер выплаты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вознаграждения  свидетелям,   переводчикам,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экспертам, а в отдельных случаях - также и представителю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чем  реализация  обозначенного  положения 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  расходов  государственного бюджета,  общая  сумма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достаточно значительна.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   22   проекта   Кодекса  в  части  регламентации  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необходимо привести в соответствие  с  </w:t>
      </w:r>
      <w:hyperlink w:history="1" r:id="rIdztpfg5ha3ypckvvqyat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</w:t>
        </w:r>
      </w:hyperlink>
    </w:p>
    <w:p>
      <w:pPr>
        <w:spacing w:after="120"/>
        <w:jc w:val="both"/>
      </w:pPr>
      <w:hyperlink w:history="1" r:id="rIdso7swjklotgalnytr9n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и </w:t>
      </w:r>
      <w:hyperlink w:history="1" r:id="rId7qwmr4ke8kgczszwdms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статье   23   проекта  Кодекса  предлагаем  определить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власти    в    качестве    субъектов,    обладающих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административно-процессуальной правоспособностью.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Статьями   проекта  Кодекса  устанавливается,  что  любые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могут быть обжалованы в вышестоящее учреждение, а в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таковое  не  имеется  либо им является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то  решение  обжалуется в  суд.  В  этой  связи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неясным,   почему  запрещается  обжалование  решений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 проектом Кодекса определяется, что указанные  судебные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обжалованию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  согласно  статье  18  </w:t>
      </w:r>
      <w:hyperlink w:history="1" r:id="rIdhnarhdh9l5z6n0ucbi5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Верховном   суде  Кыргызской  Республики  и  местных   судах»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судебных инстанций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делам, рассмотренным в порядке надзора, являются окончательными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 31  проекта Кодекса предусматривается участие структуры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дачи  заключения.  Вместе с тем  не  разъясняется,  о  какой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   идет  речь,  что  на  практике  вызовет  затруднение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норм    проекта   Кодекса,   регламентирующих 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названной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вторая  статьи  57  проекта Кодекса  противоречит  статье  3</w:t>
      </w:r>
    </w:p>
    <w:p>
      <w:pPr>
        <w:spacing w:after="120"/>
        <w:jc w:val="both"/>
      </w:pPr>
      <w:hyperlink w:history="1" r:id="rIdv5lkav0wlmw-pc-om67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 порядке  рассмотрения 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   и   жалоб  граждан»,  согласно  которой   государственные,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и иные органы, предприятия, учреждения, организации,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и другие должностные лица, к ведению которых не относится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вопросов, поставленных в предложениях, заявлениях и  жалобах,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  их  не  позднее чем в трехдневный срок по  принадлежности,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извещая  об этом заявителей, а при личном приеме разъясняют,  куда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обратиться.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части  второй  статьи  65 проекта необходимо  отметить,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штатах министерств отсутствует должность государственного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Статьями  66  и 67 проекта Кодекса устанавливается целесообразность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актов,  в  то время, как все акты должны  быть  основаны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законодательства, а не исходить из вопросов целесообразности.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Частью   четвертой  статьи  67  устанавливается,  что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 прав частного лица может быть оправдано лишь значительным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 приобретением, что противоречит  статье  17  </w:t>
      </w:r>
      <w:hyperlink w:history="1" r:id="rIdb5t4ixy53m24vidto_x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согласно которой в Кыргызской  Республике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издаваться законы, отменяющие или умаляющие  права  и 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 Ограничения  в  осуществлении  прав  и  свобод  допускаются</w:t>
      </w:r>
    </w:p>
    <w:p>
      <w:pPr>
        <w:spacing w:after="120"/>
        <w:jc w:val="both"/>
      </w:pPr>
      <w:hyperlink w:history="1" r:id="rId13mottduu1nddgcgm17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и законами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 в  целях  обеспечения  прав и свобод  других  лиц,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и   порядка,   территориальной   целостности,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строя.  При  этом существо  конституционных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не может быть затронуто.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  статьям  68  и  70 проекта Кодекса  административный 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издан в письменной, устной форме и иным образом.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необходимо конкретизировать, о какой иной форме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первая  статьи  80 противоречит статье 68  проекта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устанавливающей,  что  административный  акт,  изданный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должен в обязательном порядке содержать ссылку, где и в  какой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данный административный акт может быть оспорен и обжалован.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главах 6 и 8 проекта Кодекса необходимо уточнить понятие «личный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вторую  статьи 89, часть вторую статьи 105, пункт  4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275  и  пункт  6  статьи  355 проекта Кодекса  необходимо  привести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со   статьей   11  </w:t>
      </w:r>
      <w:hyperlink w:history="1" r:id="rIdjgv5--dwrzytbtaot1sb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конституционном судопроизводстве Кыргызской Республики»,  определяющей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категорию   дел,  подведомственных  Конституционному  суду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статье  95  проекта  Кодекса  необходимо  разъяснить,  о  каком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 прямого управления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  100  проекта  Кодекса  предлагаем  Министерство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исключить, так как  неясно,  для  каких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 будет направлять в названный орган копии справок.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Проектом  Кодекса  предполагается установить, что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могут быть рассмотрены в суде первой инстанции, в апелляционном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кассационном  порядке. При этом, согласно статье 106 проекта,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второй инстанции рассматриваются в кассационном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 с  тем,  согласно статье 337-1 </w:t>
      </w:r>
      <w:hyperlink w:history="1" r:id="rId_vlwbclvaleerlax07k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Гражданского процессуального</w:t>
        </w:r>
      </w:hyperlink>
    </w:p>
    <w:p>
      <w:pPr>
        <w:spacing w:after="120"/>
        <w:jc w:val="both"/>
      </w:pPr>
      <w:hyperlink w:history="1" r:id="rIdienoy5jlohx5ckxmzbh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на вступившие  в  законную  силу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судов сторонами и другими лицами, участвующими в деле,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поданы  кассационные жалобы в кассационную инстанцию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108  проекта  Кодекса  суд  выясняет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  дела в устном или письменном процессе.  При  этом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рассмотреть дело без судебного заседания, если имеющиеся в 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являются  достаточными,  и  с  этим  письменно  согласились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 принимая во внимание необходимость полного и всестороннего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дел с целью защиты прав и интересов всех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и  учитывая, что письменное разбирательство дел может привести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затягиванию рассмотрения и вынесения решения, считаем нецелесообразным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возможности письменного ведения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 статье 111 проекта Кодекса судопроизводство будет  вестись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государственном языке, что противоречит статье 7 </w:t>
      </w:r>
      <w:hyperlink w:history="1" r:id="rIdxzsodfwqualh-x4qdxa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Верховном суде Кыргызской Республики и местных  судах»,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устанавливающей,  что  судопроизводство в судах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3  части  1 статьи 118 проекта Кодекса следует  указать,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какому  из судей может быть заявлен отвод в случае, если судья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родства до третьей степени или в отношениях свойства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   степени  с  кем-либо  из  судей,  входящих  в  состав  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рассматривающего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 второй  статье  121  проекта  Кодекса  предлагаем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«окружной»  исключить, поскольку, согласно статье 25 </w:t>
      </w:r>
      <w:hyperlink w:history="1" r:id="rId_y_a50_tkj57ve1ibji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Верховном суде Кыргызской Республики и местных  судах»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местных судов Кыргызской Республики составляют:  областные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приравненные   к  ним  суды  (Военный  суд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  городской  суд);  районные  и  приравненные  к  ним 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(районные  суды  в  городе, городские суды, военные  суды  гарнизонов,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межрайонные суды).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Аналогичные  замечания по части четвертой статьи 186, части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292 статье 356 проекта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Главой  13  проекта  Кодекса предполагается отрегулировать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государственной  пошлины.  Однако,  необходимо  отметить,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  ставки  государственной пошлины  регламентируются  </w:t>
      </w:r>
      <w:hyperlink w:history="1" r:id="rIdgirseritr7ynptjafj1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государственной пошлине».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Предлагаем  пересмотреть нумерацию частей статей 149 и 302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  164  проекта  Кодекса предлагаем  пересмотреть  редакцию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3  и  5,  поскольку понятия «ребенок» и  «несовершеннолетний»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идентичны.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  186  проекта  предлагаем слова  «бюджет 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«местный бюджет».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части  первой статьи 212 проекта Кодекса предлагаем принять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внимание,  что  в  суде  первой инстанции дело рассматривается  судьей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 251 проекта Кодекса необходимо конкретизировать, о  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предпосылках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Главу  34  проекта необходимо привести в соответствие с положениями</w:t>
      </w:r>
    </w:p>
    <w:p>
      <w:pPr>
        <w:spacing w:after="120"/>
        <w:jc w:val="both"/>
      </w:pPr>
      <w:hyperlink w:history="1" r:id="rIdmkqthectbf4ncpprgxb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Гражданского процессуального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и  </w:t>
      </w:r>
      <w:hyperlink w:history="1" r:id="rIdmn5pmtem6lrumlm_ctc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Верховном  суде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судах», регламентирующих порядок рассмотрения  дел  Верховным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 следует отметить, что обозначенным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    Верховном    суде   не    предусмотрено 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распорядительного заседания (статьи 311 и 339 проекта Кодекса).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Положения  части  второй  статьи 347  и  части  первой  статьи  354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Кодекса  предлагаем  пересмотреть  с  учетом  того,   что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не существует институт сената.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Поскольку  Кыргызская  Республика не является  членом  Европейского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и не ратифицировала Соглашение о статусе Европейского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правам  человека,  пункт 5 статьи 357 проекта  Кодекса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4  проекта  Кодекса слово «милиция» в различных  падежных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   предлагаем  заменить  словами  «органы  внутренних   дел»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часть  4  проекта Кодекса предлагаем  пересмотреть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</w:t>
      </w:r>
      <w:hyperlink w:history="1" r:id="rIdlak2wicrogtkfdbcjkn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исполнительном производстве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статусе судебных исполнителей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  шестой  статьи  372  проекта  Кодекса  слова   «Кабинет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министров» предлагаем заменить словом «Правительство».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проекте   Кодекса   часто   используются   такие   слова,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«заблаговременно»,  «неправомерными методами», «неадекватные»,  «может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быть»,  «соображения целесообразности», «в разумный срок», «обычно»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  В  связи  с  чем  отмечаем необходимость  переработки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Кодекса с целью устранения неясных формулировок.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по тексту проекта Кодекса необходимо уточнить  ссылкй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статьи данного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 во  внимание,  что данный проект 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оформлен в виде Кодекса, предлагаем слова «настоящим законом»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  формах заменить словами  «настоящим  Кодексом»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предлагаем  пересмотреть положения проекта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 Кодекса  на соответствие  их  нормам  вновь  принятой</w:t>
      </w:r>
    </w:p>
    <w:p>
      <w:pPr>
        <w:spacing w:after="120"/>
        <w:jc w:val="both"/>
      </w:pPr>
      <w:hyperlink w:history="1" r:id="rIddlk9vnyh2ike2eorpge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fabtkajitibklms528l" Type="http://schemas.openxmlformats.org/officeDocument/2006/relationships/hyperlink" Target="http://kodeks.duckdns.org/document/159126" TargetMode="External"/><Relationship Id="rIdz7wdr076buuadhep9osxo" Type="http://schemas.openxmlformats.org/officeDocument/2006/relationships/hyperlink" Target="http://kodeks.duckdns.org/document/12" TargetMode="External"/><Relationship Id="rId0wl5rrdodvj0iozu4svuh" Type="http://schemas.openxmlformats.org/officeDocument/2006/relationships/hyperlink" Target="http://kodeks.duckdns.org/document/12" TargetMode="External"/><Relationship Id="rId0szyyh8xd8wxi3zyncpzx" Type="http://schemas.openxmlformats.org/officeDocument/2006/relationships/hyperlink" Target="http://kodeks.duckdns.org/document/1401" TargetMode="External"/><Relationship Id="rIdxq3e66ykbxatblnol8k4m" Type="http://schemas.openxmlformats.org/officeDocument/2006/relationships/hyperlink" Target="http://kodeks.duckdns.org/document/641" TargetMode="External"/><Relationship Id="rIdxn7phgtrelgefogeofj88" Type="http://schemas.openxmlformats.org/officeDocument/2006/relationships/hyperlink" Target="http://kodeks.duckdns.org/document/641" TargetMode="External"/><Relationship Id="rIdrrrib4rndx9r_xmfpmcss" Type="http://schemas.openxmlformats.org/officeDocument/2006/relationships/hyperlink" Target="http://kodeks.duckdns.org/document/1" TargetMode="External"/><Relationship Id="rIdgcbyje2uswlevymwbrebl" Type="http://schemas.openxmlformats.org/officeDocument/2006/relationships/hyperlink" Target="http://kodeks.duckdns.org/document/4" TargetMode="External"/><Relationship Id="rIdek0ylhhavkrcwnvf0tlip" Type="http://schemas.openxmlformats.org/officeDocument/2006/relationships/hyperlink" Target="http://kodeks.duckdns.org/document/56965" TargetMode="External"/><Relationship Id="rId6igisekvnq3cf3wrxyy_k" Type="http://schemas.openxmlformats.org/officeDocument/2006/relationships/hyperlink" Target="http://kodeks.duckdns.org/document/56964" TargetMode="External"/><Relationship Id="rIdztpfg5ha3ypckvvqyat2e" Type="http://schemas.openxmlformats.org/officeDocument/2006/relationships/hyperlink" Target="http://kodeks.duckdns.org/document/4" TargetMode="External"/><Relationship Id="rIdso7swjklotgalnytr9naj" Type="http://schemas.openxmlformats.org/officeDocument/2006/relationships/hyperlink" Target="http://kodeks.duckdns.org/document/4" TargetMode="External"/><Relationship Id="rId7qwmr4ke8kgczszwdms4n" Type="http://schemas.openxmlformats.org/officeDocument/2006/relationships/hyperlink" Target="http://kodeks.duckdns.org/document/1949" TargetMode="External"/><Relationship Id="rIdhnarhdh9l5z6n0ucbi5vg" Type="http://schemas.openxmlformats.org/officeDocument/2006/relationships/hyperlink" Target="http://kodeks.duckdns.org/document/1279" TargetMode="External"/><Relationship Id="rIdv5lkav0wlmw-pc-om67hu" Type="http://schemas.openxmlformats.org/officeDocument/2006/relationships/hyperlink" Target="http://kodeks.duckdns.org/document/679" TargetMode="External"/><Relationship Id="rIdb5t4ixy53m24vidto_xvh" Type="http://schemas.openxmlformats.org/officeDocument/2006/relationships/hyperlink" Target="http://kodeks.duckdns.org/document/1" TargetMode="External"/><Relationship Id="rId13mottduu1nddgcgm17kb" Type="http://schemas.openxmlformats.org/officeDocument/2006/relationships/hyperlink" Target="http://kodeks.duckdns.org/document/1" TargetMode="External"/><Relationship Id="rIdjgv5--dwrzytbtaot1sb5" Type="http://schemas.openxmlformats.org/officeDocument/2006/relationships/hyperlink" Target="http://kodeks.duckdns.org/document/777" TargetMode="External"/><Relationship Id="rId_vlwbclvaleerlax07kgn" Type="http://schemas.openxmlformats.org/officeDocument/2006/relationships/hyperlink" Target="http://kodeks.duckdns.org/document/12" TargetMode="External"/><Relationship Id="rIdienoy5jlohx5ckxmzbhud" Type="http://schemas.openxmlformats.org/officeDocument/2006/relationships/hyperlink" Target="http://kodeks.duckdns.org/document/12" TargetMode="External"/><Relationship Id="rIdxzsodfwqualh-x4qdxabo" Type="http://schemas.openxmlformats.org/officeDocument/2006/relationships/hyperlink" Target="http://kodeks.duckdns.org/document/1279" TargetMode="External"/><Relationship Id="rId_y_a50_tkj57ve1ibjitw" Type="http://schemas.openxmlformats.org/officeDocument/2006/relationships/hyperlink" Target="http://kodeks.duckdns.org/document/1279" TargetMode="External"/><Relationship Id="rIdgirseritr7ynptjafj1wt" Type="http://schemas.openxmlformats.org/officeDocument/2006/relationships/hyperlink" Target="http://kodeks.duckdns.org/document/838" TargetMode="External"/><Relationship Id="rIdmkqthectbf4ncpprgxb12" Type="http://schemas.openxmlformats.org/officeDocument/2006/relationships/hyperlink" Target="http://kodeks.duckdns.org/document/12" TargetMode="External"/><Relationship Id="rIdmn5pmtem6lrumlm_ctci_" Type="http://schemas.openxmlformats.org/officeDocument/2006/relationships/hyperlink" Target="http://kodeks.duckdns.org/document/1279" TargetMode="External"/><Relationship Id="rIdlak2wicrogtkfdbcjkn-r" Type="http://schemas.openxmlformats.org/officeDocument/2006/relationships/hyperlink" Target="http://kodeks.duckdns.org/document/994" TargetMode="External"/><Relationship Id="rIddlk9vnyh2ike2eorpgebl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2026-09-23T13:48:00.304Z</dcterms:created>
  <dcterms:modified xsi:type="dcterms:W3CDTF">2026-09-23T13:48:00.304Z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