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Правительстваот 13 декабря 2007 года № 587            ПОСТАНОВЛЕНИЕ ПРАВИТЕЛЬСТВА КЫРГЫЗСКОЙ РЕСПУБЛИКИ                Об утверждении Требований к строительству             (реконструкции) и обустройству автомобильных            пунктов пропуска через государственную границу            Кыргызской Республики и Требований к оснащению                 автомобильных пунктов пропуска через             государственную границу Кыргызской Республики                 информационно-техническими средствами      В соответствии  со статьей 7</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госу-дарственной границе Кыргызской Республики" и разделом  IV</w:t>
      </w:r>
    </w:p>
    <w:p>
      <w:r>
        <w:rPr>
          <w:rFonts w:ascii="Arial" w:cs="Arial" w:eastAsia="Arial" w:hAnsi="Arial"/>
          <w:sz w:val="24"/>
          <w:szCs w:val="24"/>
        </w:rPr>
        <w:t xml:space="preserve">Положения</w:t>
      </w:r>
    </w:p>
    <w:p>
      <w:r>
        <w:rPr>
          <w:rFonts w:ascii="Arial" w:cs="Arial" w:eastAsia="Arial" w:hAnsi="Arial"/>
          <w:sz w:val="24"/>
          <w:szCs w:val="24"/>
        </w:rPr>
        <w:t xml:space="preserve">опунктах  пропуска  через государственную границу Кыргызской Республики,утвержденного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7октября  2004  года  № 739 "Об утверждении</w:t>
      </w:r>
    </w:p>
    <w:p>
      <w:r>
        <w:rPr>
          <w:rFonts w:ascii="Arial" w:cs="Arial" w:eastAsia="Arial" w:hAnsi="Arial"/>
          <w:sz w:val="24"/>
          <w:szCs w:val="24"/>
        </w:rPr>
        <w:t xml:space="preserve">Положения</w:t>
      </w:r>
    </w:p>
    <w:p>
      <w:r>
        <w:rPr>
          <w:rFonts w:ascii="Arial" w:cs="Arial" w:eastAsia="Arial" w:hAnsi="Arial"/>
          <w:sz w:val="24"/>
          <w:szCs w:val="24"/>
        </w:rPr>
        <w:t xml:space="preserve">о пунктах пропускачерез государственную границу Кыргызской Республики",  в целях установ-ления единых требований для строительства (реконструкции) и техническо-го оснащения автомобильных пунктов пропуска через государственную  гра-ницу  Кыргызской  Республики Правительство Кыргызской Республики поста-новляет:     Утвердить прилагаемые</w:t>
      </w:r>
    </w:p>
    <w:p>
      <w:r>
        <w:rPr>
          <w:rFonts w:ascii="Arial" w:cs="Arial" w:eastAsia="Arial" w:hAnsi="Arial"/>
          <w:sz w:val="24"/>
          <w:szCs w:val="24"/>
        </w:rPr>
        <w:t xml:space="preserve">Требования</w:t>
      </w:r>
    </w:p>
    <w:p>
      <w:r>
        <w:rPr>
          <w:rFonts w:ascii="Arial" w:cs="Arial" w:eastAsia="Arial" w:hAnsi="Arial"/>
          <w:sz w:val="24"/>
          <w:szCs w:val="24"/>
        </w:rPr>
        <w:t xml:space="preserve">к строительству (реконструкции) иобустройству автомобильных пунктов пропуска через государственную  гра-ницу Кыргызской Республики и</w:t>
      </w:r>
    </w:p>
    <w:p>
      <w:r>
        <w:rPr>
          <w:rFonts w:ascii="Arial" w:cs="Arial" w:eastAsia="Arial" w:hAnsi="Arial"/>
          <w:sz w:val="24"/>
          <w:szCs w:val="24"/>
        </w:rPr>
        <w:t xml:space="preserve">Требования</w:t>
      </w:r>
    </w:p>
    <w:p>
      <w:r>
        <w:rPr>
          <w:rFonts w:ascii="Arial" w:cs="Arial" w:eastAsia="Arial" w:hAnsi="Arial"/>
          <w:sz w:val="24"/>
          <w:szCs w:val="24"/>
        </w:rPr>
        <w:t xml:space="preserve">к оснащению автомобильных пунк-тов пропуска через государственную границу Кыргызской Республики инфор-мационно-техническими средствами.      Исполняющий обязанности     первого вице-премьер-министра,     исполняющего обязанности     Премьер-министра                                 И.Айдаралиев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13 декабря 2007 года № 587                               ТРЕБОВАНИЯ              к оснащению автомобильных пунктов пропуска          через государственную границу Кыргызской Республики                 информационно-техническими средствами</w:t>
      </w:r>
    </w:p>
    <w:p>
      <w:pPr>
        <w:spacing w:after="120"/>
        <w:jc w:val="both"/>
      </w:pPr>
      <w:r>
        <w:rPr>
          <w:rFonts w:ascii="Arial" w:cs="Arial" w:eastAsia="Arial" w:hAnsi="Arial"/>
          <w:sz w:val="20"/>
          <w:szCs w:val="20"/>
        </w:rPr>
        <w:t xml:space="preserve">    (В редакции постановления Правительства КР от</w:t>
      </w:r>
    </w:p>
    <w:p>
      <w:pPr>
        <w:spacing w:after="120"/>
        <w:ind w:firstLine="708"/>
        <w:jc w:val="both"/>
      </w:pPr>
      <w:hyperlink w:history="1" r:id="rIdurqm2c5knxupxtvdkjsic">
        <w:r>
          <w:rPr>
            <w:rFonts w:ascii="Arial" w:cs="Arial" w:eastAsia="Arial" w:hAnsi="Arial"/>
            <w:color w:val="1D4ED8"/>
            <w:sz w:val="20"/>
            <w:szCs w:val="20"/>
            <w:u w:val="single"/>
          </w:rPr>
          <w:t xml:space="preserve">19 июля 2012 года № 511</w:t>
        </w:r>
      </w:hyperlink>
      <w:r>
        <w:rPr>
          <w:rFonts w:ascii="Arial" w:cs="Arial" w:eastAsia="Arial" w:hAnsi="Arial"/>
          <w:sz w:val="20"/>
          <w:szCs w:val="20"/>
        </w:rPr>
        <w:t xml:space="preserve">)</w:t>
      </w:r>
    </w:p>
    <w:p>
      <w:r>
        <w:rPr>
          <w:rFonts w:ascii="Arial" w:cs="Arial" w:eastAsia="Arial" w:hAnsi="Arial"/>
          <w:sz w:val="24"/>
          <w:szCs w:val="24"/>
        </w:rPr>
        <w:t xml:space="preserve">I.  Требования и состав к размещению технических средств         таможенного контроля     II. Требования и состав к размещению технических средств         пограничного контроля             I. Требования и состав к размещению технических                     средств таможенного контроля      Технические средства  и системы,  необходимые для функционированиятаможенного органа в АПП,  должны создаваться как комплекс  техническихсредств и систем таможенного органа.     Состав, тип и место установки применяемого оборудования определяютв  процессе  проектирования  конкретного АПП при разработке архитектур-но-планировочного решения.  При выборе типа систем (средств) и  составаоборудования технических средств учитывают:     - категорию АПП,  его месторасположение, степень уязвимости от ве-роятных действий нарушителей (групп,  отдельных лиц), характер окружаю-щей местности и принятую концепцию (способ) охраны;     - требования таможенного органа (далее - Заказчик),  предъявляемыек работе комплекса технических средств;     - задание на проектирование;     - координаты места установки оборудования;     - объем, площадь, протяженность и конфигурацию АПП;     - освещенность объекта в различное время суток;     - реальные  возможности проведения монтажных работ (обеспеченностьспециальными машинами и механизмами);     - природно-климатические условия окружающей среды;     - необходимость обеспечения электромагнитной  совместимости  аппа-ратных средств,  а также обеспечения их защиты от вибрации и механичес-ких воздействий;     - необходимость обеспечения экологических,  эргономических и меди-ко-биологических условий для работы персонала.     В зависимости от назначения и особенностей объекта, а также харак-теристик контролируемых грузов (товаров) и транспортных средств, требо-ваний  к таможенному контролю и технологии его проведения состав техни-ческих средств таможенного контроля АПП определяется нормативными  пра-вовыми  актами  таможенной  службы Кыргызской Республики и может допол-няться новыми видами технических средств таможенного контроля.     Требования к  помещениям  и температурно-влажностному режиму в нихопределяются критичными параметрами размещаемых технических средств та-моженного  контроля и требований санитарных норм и правил в зависимостиот оборудования и количества обслуживающего персонала.     Состав, количество  и места установки технических средств таможен-ного контроля устанавливается таможенной службы Кыргызской Республики.     В комплекс технических средств таможенных органов должны входить:     - комплекс технических средств таможенного контроля;     - средства таможенного контроля за делящимися и радиоактивными ма-териалами;     - интегрированная структурированная кабельная система;     - локальная вычислительная сеть;     - система связи;     - комплексная система безопасности;     - система электроснабжения.     В задании на проектирование должны быть предусмотрены:     - вещательное телевидение;     - система речевого оповещения персонала о  возникновении  и  (или)предпосылках возникновения аварийных и угрожающих ситуаций;     - система диспетчерской проводной связи;     - радиофикация (проводное вещание);     - часофикация.     Для повышения  эффективности  использования  различных техническихсредств таможенного контроля за делящимися и радиоактивными  материала-ми,  средств связи,  систем охраны, пожарной сигнализации, теленаблюде-ния,  локальных вычислительных сетей,  систем электроснабжения и др.  исокращения  затрат  на строительные и монтажные работы должно быть пре-дусмотрено их комплексирование (интеграция) в единую систему.      Комплекс технических средств таможенного контроля      Комплекс технических средств таможенного контроля предназначен дляобнаружения  товаров,  запрещенных (ограниченных) для перемещения черезтаможенную границу Кыргызской Республики,  в том числе оружия, взрывча-тых  и  наркотических веществ,  культурных и исторических ценностей,  атакже для определения количественных и весовых характеристик товаров.     В комплекс технических средств таможенного контроля входят:     - досмотровая рентгенотехника;     - система обнаружения оружия.     Для углубленного досмотра и диагностики объектов таможенного конт-роля должны быть предусмотрены:     - средства поиска;     - технические (электронные) и химические средства идентификации;     - технические средства дознания  и  документирования  по  делам  оконтрабанде;     - приборы взвешивания;     - вспомогательные технические средства;     - оргтехника;     - лабораторное оборудование (в том числе в зависимости от характе-ра перемещаемых грузов (товаров) средства для проведения  экспресс-ана-лиза).      Досмотровая рентгенотехника      Рентгеновский контроль  должен  осуществляться на базе конвейерныхрентгенотелевизионных установок для  досмотра  багажа  и  ручной  клади(число  установок выбирают из расчета одна установка на 1000 пассажировв сутки), переносных рентгеновских комплексов для углубленного досмотраотдельных  предметов багажа,  ручной клади пассажиров и отдельных конс-труктивных частей автотранспортных средств, а также рентгенотелевизион-ных установок для контроля легковых автомашин и микроавтобусов в АПП.     На АПП при больших объемах грузоперевозок в  отдельном  сооруженииразмещают специальную радиографическую или рентгеновскую технику,  инс-пекционно-досмотровые комплексы для  досмотра  крупногабаритных  грузов(автофургоны,  контейнеры), которые позволяют осуществлять контроль со-ответствия фактического содержимого объектов досмотра сведениям,  заяв-ленным в таможенной декларации, и одновременно выявлять незаконные вло-жения.     Конвейерные рентгенотелевизионные  установки  должны размещаться взалах таможенного контроля. Установка для контроля легковых автомобилейи  микроавтобусов размещается в специальном помещении (боксе),  котороеобеспечивает полную радиационную безопасность для обслуживающего персо-нала и окружающей природной среды.     При регулярном перемещении физическими лицами багажа и ручной кла-ди,  превышающих  размеры  досмотрового  окна  рентгеновского аппарата,должны использоваться рентгеновские аппараты для  контроля  содержимогосредне-  и крупногабаритных грузов.  Дополнительно устанавливают стойкудля работы с подконтрольными лицами высотой 90-100 см и  размером  сто-лешницы  примерно  50x50 см.  В стойке должны быть не менее шести ячеек(ящиков), для хранения деклараций, банковских справок.     Требуемая площадь для размещения одной установки без учета накопи-телей и проходов составляет:     - 9 кв.м (4,5х2) - для контроля содержимого багажа и ручной клади;     - 15 кв.м (5х3) - для используемой при контроле средне- и  крупно-габаритных грузов.     Электропитание установок должно осуществляться от сети переменноготока напряжением 220 В +/- 10%. Потребляемая мощность одной конвейернойустановки - 1,5 кВт, установки для контроля легковых автомашин и микро-автобусов - 50 кВт.      Металлодетекторы      Система обнаружения  оружия предназначена для обнаружения металли-ческих предметов произвольной формы и  ориентации,  скрытых  в  одежде,обуви  или на теле физических лиц,  пересекающих линию контроля.  В ка-честве системы обнаружения металлических предметов могут использоватьсястационарные металлодетекторы, которые устанавливают в залах таможенно-го контроля, а также портативные металлодетекторы.      Комплект технических средств для углубленного досмотра      Базовый (минимально необходимый) комплект технических средств  дляуглубленного досмотра и диагностики объектов таможенного контроля вклю-чает:     - телевизионные досмотровые системы;     - комплекты досмотровых зеркал;     - досмотровые фонари;     - комплекты досмотровых щупов;     - комплекты досмотровых эндоскопов;     - ультрафиолетовые фонари;     - флуоресцентные фломастеры;     - детекторы обнаружения наркотических и взрывчатых веществ;     - детекторы контрабанды;     - комплекты досмотрового инструмента;     - оборудование  и  инструменты для отбора и хранения проб и образ-цов;     - средства идентификации драгоценных металлов;     - средства идентификации драгоценных камней;     - химические средства экспресс-анализа наркотических веществ;     - приборы для проверки и подсчета банкнот;     - приборы проверки подлинности таможенных документов;     - видеокомплекты;     - диктофоны;     - фотоаппараты;     - средства документирования и контроля аудио- и видеоинформации;     - весы электронные (предел взвешивания до 3 кг и до 300 кг);     - весы автомобильные;     - копировально-множительные аппараты;     - универсальные  зарядные  устройства  для  зарядки  аккумуляторовТСТК.     Выбор технических  средств  таможенного  контроля производится приразработке технического задания на оснащение АПП комплексом техническихсредств.     В зависимости от видов основных грузов,  перемещаемых через  конк-ретный  АПП,  состав технических средств может дополняться техническимисредствами таможенного контроля для проведения их таможенного  контроляи  идентификации (приборы идентификации материалов,  приборы подповерх-ностного зондирования,  устройство для разбортирования  и  балансировкиколес,  электродрель  со  сменными насадками и автономным питанием (дляотбора проб) и др.).     Необходимое количество каждого вида технических средств таможенно-го контроля определяют по следующим исходным данным:     - планируемый грузопоток;     - планируемый пассажиропоток;     - характер перемещаемых грузов;     - режим работы (сменность);     - планируемые (перспективные) технологии таможенного контроля;     - количество и состав досмотровых групп.     Для радиационного  контроля товаров и транспортных средств исполь-зуют специальную аппаратуру.      Стационарные системы радиационного контроля      Устанавливаются на входе-выходе (въезде-выезде) в места таможенно-го оформления и контроля в пунктах пропуска и предназначены для обнару-жения перемещения через таможенную границу Кыргызской Республики  деля-щихся и радиоактивных материалов.     Конкретное количество блоков детектирования определяется с  учетомособенностей таможенного контроля для соответствующих пунктов пропуска.      Поисковые приборы      Каждый отдел таможенного оформления и контроля и служба таможенно-го контроля за делящимися и радиоактивными материалами (далее -  ТКДРМ)оснащаются  одним  из  дозиметрических приборов для измерения фотонного(гамма- и рентгеновского) излучения в количестве 3-4 шт.     Указанные приборы  предназначены  для контроля радиационной обста-новки на рабочих местах инспекторов-операторов досмотровой  рентгеновс-кой техники и на местах размещения досматриваемых объектов.      Приборы индивидуального дозиметрического контроля      Универсальные дозиметры-сигнализаторы.    Указанными   дозиметрамиобеспечиваются все сотрудники службы ТКДРМ и сотрудники  отделов  тамо-женного оформления и контроля, непосредственно участвующие в проведенииконтроля и досмотра пассажиров, грузов и транспортных средств.      Средства индивидуальной защиты      Каждый пункт пропуска  обеспечивается  5  комплектами  одноразовыхсредств индивидуальной защиты.      Локальная вычислительная сеть      Локальная вычислительная  сеть АПП состоит из средств вычислитель-ной техники (сервер, рабочая станция), активного сетевого оборудования,средств  управления активным сетевым оборудованием и кабельной сети дляпередачи информации,  входящей в состав интегрированной структурирован-ной кабельной системы.     К средствам  вычислительной  техники  относятся  рабочие   станции(офисные,  производительные, администратор локальной вычислительной се-ти) и серверы (приложений и баз данных).  Выбор средств  вычислительнойтехники  осуществляют согласно отдельным техническим требованиям с уче-том используемого в АПП программного обеспечения.     Оснащение АПП  средствами  вычислительной  техники  может осущест-вляться как в рамках единого проекта локальной вычислительной сети, таки в виде отдельной поставки.     Структурированная кабельная  система  предназначена  для  передачислаботочных  сигналов между оборудованием пользовательских информацион-ных систем - компьютерного оборудования различного назначения, телефон-ных аппаратов и т.д.     Структурированная кабельная система создается для обеспечения уни-версального  физического  коммутационного пространства пользовательскихинформационных систем различного назначения, в том числе для:     - построения  и  развития  локальной вычислительной сети здания наоснове современных и перспективных технологий (Ethernet, Fast Ethernet,Gigabit Ethernet, FDDI, ATM);     - построения и развития телефонной сети здания;     - построения и развития комплексной системы безопасности.     Структурированная кабельная система создается  в  соответствии  соследующими нормативными документами:     - ГОСТ "Информационная технология. Комплекс стандартов и руководя-щих  документов  на  автоматизированные системы" (ГОСТ 34.201-89,  ГОСТ</w:t>
      </w:r>
    </w:p>
    <w:p>
      <w:r>
        <w:rPr>
          <w:rFonts w:ascii="Arial" w:cs="Arial" w:eastAsia="Arial" w:hAnsi="Arial"/>
          <w:sz w:val="24"/>
          <w:szCs w:val="24"/>
        </w:rPr>
        <w:t xml:space="preserve">34.602-89);</w:t>
      </w:r>
    </w:p>
    <w:p>
      <w:r>
        <w:rPr>
          <w:rFonts w:ascii="Arial" w:cs="Arial" w:eastAsia="Arial" w:hAnsi="Arial"/>
          <w:sz w:val="24"/>
          <w:szCs w:val="24"/>
        </w:rPr>
        <w:t xml:space="preserve">- ISO/IEC  11801 INFORMATION TECHNOLOGY - GENERIC CABLING FOR CUS-</w:t>
      </w:r>
    </w:p>
    <w:p>
      <w:r>
        <w:rPr>
          <w:rFonts w:ascii="Arial" w:cs="Arial" w:eastAsia="Arial" w:hAnsi="Arial"/>
          <w:sz w:val="24"/>
          <w:szCs w:val="24"/>
        </w:rPr>
        <w:t xml:space="preserve">TOMER PREMISES;</w:t>
      </w:r>
    </w:p>
    <w:p>
      <w:r>
        <w:rPr>
          <w:rFonts w:ascii="Arial" w:cs="Arial" w:eastAsia="Arial" w:hAnsi="Arial"/>
          <w:sz w:val="24"/>
          <w:szCs w:val="24"/>
        </w:rPr>
        <w:t xml:space="preserve">- TIA/EIA-568-SET  COMMERCIAL  BUILBING TELECOMMUNICATIONS CABLING</w:t>
      </w:r>
    </w:p>
    <w:p>
      <w:r>
        <w:rPr>
          <w:rFonts w:ascii="Arial" w:cs="Arial" w:eastAsia="Arial" w:hAnsi="Arial"/>
          <w:sz w:val="24"/>
          <w:szCs w:val="24"/>
        </w:rPr>
        <w:t xml:space="preserve">STANDARDS;</w:t>
      </w:r>
    </w:p>
    <w:p>
      <w:r>
        <w:rPr>
          <w:rFonts w:ascii="Arial" w:cs="Arial" w:eastAsia="Arial" w:hAnsi="Arial"/>
          <w:sz w:val="24"/>
          <w:szCs w:val="24"/>
        </w:rPr>
        <w:t xml:space="preserve">- TIA/EIA-569  COMMERCIAL BUILDING STANDARD FOR TELECOMMUNICATIONS</w:t>
      </w:r>
    </w:p>
    <w:p>
      <w:r>
        <w:rPr>
          <w:rFonts w:ascii="Arial" w:cs="Arial" w:eastAsia="Arial" w:hAnsi="Arial"/>
          <w:sz w:val="24"/>
          <w:szCs w:val="24"/>
        </w:rPr>
        <w:t xml:space="preserve">PATHWAYS AND SPACES;</w:t>
      </w:r>
    </w:p>
    <w:p>
      <w:r>
        <w:rPr>
          <w:rFonts w:ascii="Arial" w:cs="Arial" w:eastAsia="Arial" w:hAnsi="Arial"/>
          <w:sz w:val="24"/>
          <w:szCs w:val="24"/>
        </w:rPr>
        <w:t xml:space="preserve">- TIA/EIA-570 RESIDENTIAL TELECOMMUNICATIONS CABLING STANDARD;</w:t>
      </w:r>
    </w:p>
    <w:p>
      <w:r>
        <w:rPr>
          <w:rFonts w:ascii="Arial" w:cs="Arial" w:eastAsia="Arial" w:hAnsi="Arial"/>
          <w:sz w:val="24"/>
          <w:szCs w:val="24"/>
        </w:rPr>
        <w:t xml:space="preserve">- TIA/EIA-606 THE ADMINISTRATION STANDARD FOR THE TELECOMMUNICATI-</w:t>
      </w:r>
    </w:p>
    <w:p>
      <w:r>
        <w:rPr>
          <w:rFonts w:ascii="Arial" w:cs="Arial" w:eastAsia="Arial" w:hAnsi="Arial"/>
          <w:sz w:val="24"/>
          <w:szCs w:val="24"/>
        </w:rPr>
        <w:t xml:space="preserve">ONS INFRASTRUCTURE OF COMMERCIAL BUILDINGS;</w:t>
      </w:r>
    </w:p>
    <w:p>
      <w:r>
        <w:rPr>
          <w:rFonts w:ascii="Arial" w:cs="Arial" w:eastAsia="Arial" w:hAnsi="Arial"/>
          <w:sz w:val="24"/>
          <w:szCs w:val="24"/>
        </w:rPr>
        <w:t xml:space="preserve">- TIA/EIA-607  COMMERCIAL  BUILDING  GROUNDING\BONDING\REQUIREMENT</w:t>
      </w:r>
    </w:p>
    <w:p>
      <w:r>
        <w:rPr>
          <w:rFonts w:ascii="Arial" w:cs="Arial" w:eastAsia="Arial" w:hAnsi="Arial"/>
          <w:sz w:val="24"/>
          <w:szCs w:val="24"/>
        </w:rPr>
        <w:t xml:space="preserve">STANDARD;</w:t>
      </w:r>
    </w:p>
    <w:p>
      <w:r>
        <w:rPr>
          <w:rFonts w:ascii="Arial" w:cs="Arial" w:eastAsia="Arial" w:hAnsi="Arial"/>
          <w:sz w:val="24"/>
          <w:szCs w:val="24"/>
        </w:rPr>
        <w:t xml:space="preserve">- TIA/EIA TSB 72 CENTRALIZED OPTICAL FIBER CABLING GUIDELINES;</w:t>
      </w:r>
    </w:p>
    <w:p>
      <w:r>
        <w:rPr>
          <w:rFonts w:ascii="Arial" w:cs="Arial" w:eastAsia="Arial" w:hAnsi="Arial"/>
          <w:sz w:val="24"/>
          <w:szCs w:val="24"/>
        </w:rPr>
        <w:t xml:space="preserve">- TIA/EIA  TSB 75 ADDITIONAL HORIZONTAL CABLING PRACTICES FOR OPEN</w:t>
      </w:r>
    </w:p>
    <w:p>
      <w:r>
        <w:rPr>
          <w:rFonts w:ascii="Arial" w:cs="Arial" w:eastAsia="Arial" w:hAnsi="Arial"/>
          <w:sz w:val="24"/>
          <w:szCs w:val="24"/>
        </w:rPr>
        <w:t xml:space="preserve">OFFICES.      Правила устройства электроустановок (ПУЭ)      Структурированная кабельная система должна включать:     - горизонтальную кабельную разводку;     - промежуточные распределительные узлы;     - основную кабельную магистраль;     - основной распределительный узел.     Горизонтальная кабельная  разводка  должна охватывать оборудованиеодного этажа и начинаться там,  где пользователь подключает  компьютер,телефон  или иное оконечное устройство,  и оканчиваться в промежуточныхраспределительных узлах.     Промежуточный распределительный узел служит для связи горизонталь-ной кабельной системы с основной магистралью.     Основная кабельная  магистраль обеспечивает соединение всех проме-жуточных распределительных узлов с основным распределительным узлом.     Основной распределительный узел является центром структурированнойкабельной сети,  содержит средства кроссового соединения горизонтальныхкабелей  с портами оборудования или магистральными каналами и обеспечи-вает администрирование, ремонт и модификацию всей кабельной сети.     Горизонтальная кабельная разводка, ограничители горизонтальных ка-белей в промежуточных распределительных узлах,  кроссовые соединения  впромежуточных распределительных узлах и розетки для подключения оконеч-ного оборудования составляют горизонтальную кабельную  подсистему  зда-ния.     Горизонтальная кабельная подсистема должна  обеспечивать  передачуданных  со скоростью 10/100 Мб/с между оконечным оборудованием и актив-ным устройством при его установке в промежуточном распределительном уз-ле.     На каждом рабочем месте  должно  быть  обеспечено  унифицированноеподключение двух разнородных оконечных устройств.     Розетки и схема разделки кабеля должны обеспечить  гарантированноеподключение  к  структурированной  кабельной системе локальной вычисли-тельной и телефонной сетей,  персональных компьютеров,  сетевых принте-ров,  файловых  серверов,  серверов  баз данных и другого компьютерногооборудования, имеющего стандартные интерфейсы для подключения к локаль-ным вычислительным сетям,  а также цифровых и аналоговых телефонных ап-паратов.     Основная кабельная  магистраль,  кроссовые соединения в основном ипромежуточных распределительных  узлах  составляют  основную  кабельнуюподсистему здания.     Основная кабельная магистраль должна обеспечить  подключение  нес-кольких  активных  сетевых устройств в каждом промежуточном распредели-тельном узле (конкретное число определяется  при  проектировании).  Приэтом  должно быть предусмотрено двойное резервирование основной кабель-ной магистрали,  предназначенное для развития и  модернизации  сети,  атакже на случай возможных отказов в основных кабельных соединениях.     Все компоненты структурированной  кабельной  системы  должны  бытьунифицированы,  легко  сопрягаться друг с другом и обеспечивать простоеподключение широкого спектра оборудования локальной вычислительной сетии телефонии.     Физическая конфигурация информационной  сети  должна  определятьсятолько  коммутацией портов в распределительных узлах,  при этом процесскоммутации должен быть прост и нагляден.     Структурированная кабельная  система должна обеспечивать текущие иперспективные потребности пользовательских информационных систем, внед-рение новых и развитие действующих информационных систем обеспечиваетсятолько путем изменения (дополнения) схемы коммутации в  распределитель-ных  узлах  и возможность интеграции в региональную информационно-теле-коммуникационную систему.     Активное сетевое оборудование должно обеспечивать:     - производительность на системной шине не менее 1 Гбит/с при боль-шом количестве подключаемых рабочих станций,  файловых серверов, серве-ров баз данных и серверов приложений,  а также периферийного оборудова-ния с возможностью наращивания сети в перспективе;     - поддержку различных сетевых протоколов (IP,  IPX, NetBIOS и др.)одновременно;     - использование стандартных протоколов для обмена информацией меж-ду устройствами сети с целью дальнейшего развития сети с использованиемоборудования различных производителей;     - простоту  подключения  дополнительных или перемещаемых из одногопомещения в другое рабочих станций и других технических средств сети;     - возможность  экономичного наращивания пропускной способности се-ти;     - возможность подключения централизованных ресурсов непосредствен-но к высокоскоростной магистрали сети;     - круглосуточный  режим работы сетевого оборудования,  высокую на-дежность и отказоустойчивость;     - минимальное время на восстановление после отказов в сети;     - возможность самостоятельного диагностирования сетевого  оборудо-вания и простоту локализации неисправностей;     - возможность установления приоритетов трафика на уровне портов;     - поддержку протоколов резервирования основных компонентов, позво-ляющих обойтись без изменения конфигурации сетевых устройств, для обес-печения безотказной работы магистрали и межсетевого взаимодействия;     - диапазон рабочих температур оборудования от +5 до  +40  градусовС.     Для прокладки кабеля  в  помещениях  используют  скрытую  проводку(внутри стен в ПВХ-трубах), в рабочих кабинетах прокладывают парапетныекабельные каналы со встроенными в них розетками на высоте крышки  рабо-чего  стола,  кабели в общих помещениях (коридорах,  холлах,  пролетах)прокладывают над фальшь - потолком в металлических  лотках.  Количестворабочих  мест  определяют с учетом планировки помещения (6 кв.м на однорабочее место) плюс два рабочих места на каждое помещение.     Предусматривается прокладка по одному кабелю 4 х 2 х 0,5 в следую-щих технических помещениях:     - электрощитовой;     - помещении для установки вентиляторов.     Длина любого  кабельного  соединения  категории V в горизонтальнойкабельной разводке не должна превышать 90 м.  При этом между оконечнымиточками кабеля не должно быть никаких промежуточных соединений (спайка,скрутка и т.д.).     Кабели структурированной кабельной системы не должны проходить па-раллельно в непосредственной близости от сильноточной кабельной развод-ки.  Минимальное расстояние между слаботочными и сильноточными кабелямипри  их  параллельной   прокладке   определяется   согласно   стандартуEIA/TIA569A. Допускается пересечение слаботочных и сильноточных кабелейпод прямым углом.     В рабочих помещениях все рабочие места оборудуют модульными блока-ми розеток.  Каждый блок содержит две розетки RJ-45,  каждая из которыхсвоим  кабелем  соединяется  с  коммутационной панелью соответствующегораспределительного пункта.     Все коммутационное оборудование распределительных пунктов размеща-ется и монтируется в 19-дюймовых шкафах.     Доступ в помещения, где оборудуются распределительные пункты, дол-жен быть ограничен.      Система связи      Система связи АПП должна обеспечивать внешнюю и внутреннюю  связь,его  непосредственный  выход на вышестоящий таможенный орган.  Для этихцелей создают коммуникационный  центр,  организовывают  линии  привязкикоммуникационного  центра  АПП  к ближайшему узлу связи для включения всеть общего пользования и обеспечения аренды каналов связи или  прокла-дывают собственные линии привязки к вышестоящему таможенному органу.     Система связи включает средства:     - телефонной связи,  в том числе ведомственной, внутренней, опера-тивно-диспетчерской и  общего  пользования  (городской,  междугородной,международной);     - телеграфной связи (или электронной почты);     - факсимильной связи;     - конфиденциальной связи (согласно табелю положенности);     - УКВ-радиосвязи (стационарные, возимые, носимые);     - передачи данных.     Перечень необходимых   строительно-монтажных  работ  разрабатываетпроектная организация для каждого объекта в соответствии  с  настоящимиТребованиями.     Основным документом при проектировании системы связи АПП  являетсясхема ее организации, которую разрабатывает проектная организация в со-ответствии с техническим заданием на проектирование,  исходными даннымии техническими условиями на присоединение, выдаваемыми оператору присо-единяемой сети (заказчику объекта) оператором сети общего  пользования,региональным  центром правительственной связи.  Схема организации связиутверждается заказчиком АПП.     Помещение узла  связи размещают в административно-эксплуатационномздании.  Должны быть предусмотрены помещения для ремонта средств связи,для хранения аппаратуры и запасных частей с принадлежностями, помещениедокументальной связи.     В узле связи размещают:     - учрежденческую АТС или телефонную систему;     - средства  телеграфной связи (или электронной почты) и факсимиль-ной связи;     - оборудование образования каналов и мультиплексирования;     - вводно-коммутационные устройства и линейное оборудование;     - кросс.     Для узла связи оборудуется независимое от других объектов  рабочеезаземление сопротивлением 4 Ом.     Емкость учрежденческой автоматизированной телефонной сети выбираютиз расчета 50% состава сотрудников АПП, имеющих рабочие места. В соста-ве проектной документации должны быть разработаны данные для программи-рования автоматизированной телефонной сети. При штатной численности ме-нее 20 человек устанавливается телефонная система емкостью до 10  номе-ров, менее 6 человек - абонентская установка с ведомственным телефоннымномером вышестоящего таможенного органа.     При подсоединении  АПП к единой автоматизированной телефонной сетидля всех служб абоненты таможенных органов должны иметь выход в ведомс-твенную  сеть  связи таможенной службы Кыргызской Республики при невоз-можности выхода в нее других  абонентов  автоматизированной  телефоннойсети объекта.     Состав оборудования и канальная  емкость  систем  передачи,  линийпривязки  к сети общего пользования должны обеспечить выполнение техни-ческих условий предприятий связи (оператора связи) и  следующий  расчетканалов связи:     - до 15 соединительных линий с трехпроводным окончанием для  вклю-чения  учрежденческой  автоматизированной  телефонной сети емкостью 100номеров в сеть общего пользования либо цифровой поток 2,048 Мбит/с (приемкости  автоматизированной  телефонной  сети до 50 абонентских номероворганизовывается до восьми двухпроводных абонентских линий);     - цифровой  канал  64  кбит/с (в случае невозможности - два каналатональной чистоты с четырехпроводным окончанием) для включения  автома-тизированной  телефонной  сети  в  ведомственную сеть таможенной службыКыргызской Республики и один цифровой канал до 128 кбит/с для обеспече-ния  передачи данных с локальной вычислительной сети АПП в Единую авто-матизированную информационную систему таможенной службы Кыргызской Рес-публики  через  таможню  либо один интегральный канал 128 кбит/с и вышедля подключения АПП к Единой автоматизированной информационной  системетаможенной службы Кыргызской Республики и Ведомственной интегрированнойтелекоммуникационной системе;     - два  канала  тональной  чистоты для организации конфиденциальнойсвязи таможенной службы Кыргызской Республики;     - пять  абонентских линий с двухпроводным окончанием для включенияабонентов таможенных органов в городскую телефонную сеть;     - два канала связи АТ-50 или электронной почты для включения в об-щегосударственную сеть;     - две-четыре  абонентские  линии  с  двухпроводным  окончанием длявключения таксофонов городской и междугородной сетей связи.     Вводно-коммутационное оборудование  должно  обеспечивать  прием  ираздачу всех внешних линий и каналов связи, контроль и коммутацию арен-дованных  и  принимаемых  у  предприятий  связи  каналов связи с учетом25-процентного резерва.     Помещения таможенного  органа оборудуются оперативно-диспетчерскойтелефонной связью.     Пульт диспетчерской телефонной связи таможенного органа устанавли-вают в помещении оперативного дежурного. Пульт должен быть включен або-нентом в ведомственную сеть связи таможенной службы.     Емкость пульта при проектировании определяют по перечням абонентови местам установки оконечных аппаратов.     Порядок организации специальной засекреченной  связи  определяетсятехническими условиями регионального центра правительственной связи,  взону которого входит АПП.     Аппараты факсимильной  связи включают в абонентские номера ведомс-твенной автоматизированной телефонной сети, имеющей выход в сеть общегопользования.     Абонентскую установку  телеграфной  связи  или  электронной  почтывключают  в  сеть АТ-50 или в другую сеть в соответствии с техническимиусловиями оператора связи.     Абонентская установка  электронной  почты  или сети АТ-50 и факси-мильные аппараты устанавливают в комнате документальной связи с  учетомвозможности  наблюдения оперативным дежурным за поступлением информациина аппараты, работающие в автоматическом режиме, при отсутствии в поме-щении оператора связи.     Стационарную радиостанцию УКВ-связи устанавливают в помещении опе-ративного дежурного таможенного органа,  антенну - на крыше администра-тивного здания автовокзала (в случае необходимости - на отдельной  мач-те) с соблюдением требования минимизации длины антенного фидера.  Коли-чество возимых и носимых радиостанций  определяют  согласно  внутреннихтребований таможенных органов.     Средства образования каналов, документальной связи и автоматизиро-ванной телефонной сети должны быть обеспечены источниками бесперебойно-го питания.     В служебно-производственных  помещениях  предусматривают места дляустановки кабин с возможностью подключения таксофонов городской (между-городной, международной) телефонной связи.      Комплексная система безопасности      Комплексная система  безопасности  АПП предназначена для обеспече-ния:     - охраны помещений АПП,  имущества,  оборудования и других матери-альных ценностей таможенного органа на АПП;     - контрольно-пропускного и внутреннего режима объекта;     - безопасности работы подразделений на объекте;     - возможности  обнаружения запрещенных для вноса на объект предме-тов;     - защиты информации, составляющей государственную или иную охраня-емую законом тайну,  от утечки по техническим каналам и от несанкциони-рованного доступа.     В целях исключения противоправных акций, которые могут быть совер-шены  как лицами,  несанкционированно проникшими на территорию объекта,так и недобросовестным персоналом  объекта,  снижения  влияния  факторавнутреннего нарушителя в основу построения комплексной системы безопас-ности должен быть заложен принцип "тотального недоверия".     В состав комплексной системы безопасности входят:     - автоматизированная система охраны;     - система оперативного телевидения;     - система защиты информации.     Технические средства  безопасности государственных контрольных ор-ганов в АПП, имеющие идентичные функции, должны быть едиными, обеспечи-вать комплексное решение задач.     Оборудование должно соответствовать  предъявляемым  требованиям  ибыть сертифицировано. Состав и тип применяемого оборудования, места егоустановки определяются на этапе  проектирования  АПП  после  выполненияпроектно-изыскательских работ и разработки технического задания.     Общие требования к противопожарной защите помещений, зданий и дру-гих  сооружений  на всех этапах их создания и эксплуатации должны соот-ветствовать требованиям законодательства республики.     При изменении  функционального  назначения помещений должны приме-няться действующие нормативные требования в  соответствии  с  их  новымназначением.     Состав организационно-технических мероприятий по  обеспечению  по-жарной  безопасности содержится в ГОСТ 12.1.004-91 ССБТ "Пожарная безо-пасность. Общие требования":     - организация пожарной охраны;     - разработка и реализация норм  и  правил  пожарной  безопасности,инструкций;     - нормирование численности людей на объекте по  условиям  безопас-ности при пожаре;     - порядок хранения веществ, материалов;     - паспортизация  веществ,  материалов  и  изделий в соответствии стребованиями пожарной безопасности и т.д.     Противопожарный режим  в зданиях,  сооружениях и помещениях регла-ментируют правила пожарной безопасности в Кыргызской Республике, а так-же стандарты, строительные нормы и правила, нормы технологического про-ектирования,  отраслевые и региональные правила пожарной безопасности идругие нормативные документы,  утвержденные согласно установленному по-рядку и содержащие требования к пожарной безопасности.     Система пожарной сигнализации должна обеспечивать:     - обнаружение и фиксирование фактов  появления  очагов  загорания,задымленности, повышения температуры;     - формирование сигналов для системы управления доступом;     - формирование сигналов для охранного телевидения по приоритетномувключению телевизионных изображений зоны тревоги и прилегающих зон;     - формирование сигналов для аварийного освещения;     - формирование сигналов для устройств автоматического  пожаротуше-ния, дымоудаления и т.п.;     - фиксирование информации о всех принятых сигналах тревоги в  базеданных с указанием даты, времени и адреса, ведение протокола работы.     Автоматизированная система охраны должна включать следующие  взаи-мосвязанные системы:     - охранной сигнализации;     - пожарной сигнализации;     - управления доступом;     - охранного телевидения;     - охранного освещения;     - сбора и обработки информации.     Система охранной сигнализации должна обеспечивать:     - постановку  на  охрану  и  снятие  с охраны помещений таможеннойслужбы в зависимости от функционального назначения помещений (с перифе-рийного пульта в помещении и пульта охраны);     - обнаружение и фиксирование фактов проникновения  и  передвижениянарушителей в помещениях, сданных под охрану;     - фиксирование срабатывания проводной и радиосигнализации при тре-воге на территории АПП;     - формирование сигналов для системы управления доступом;     - формирование сигналов для охранного телевидения по приоритетномувключению телевизионных изображений зоны тревоги и прилегающих зон;     - формирование сигналов для охранного освещения;     - фиксирование информации обо всех принятых сигналах тревоги в ба-зе данных с указанием даты, времени и адреса, ведение протокола работы.     Технические, складские и служебные помещения АПП должны быть осна-щены системой пожарной сигнализации,  обеспечивающей обнаружение пожарав начальный период его развития и подачу звукового и светового  сигналао начале пожара на пульт сигнализации.  Оснащение помещений должно вес-тись с учетом требований СНиП 2.04.09.84 "Пожарная автоматика зданий  исооружений". Пульт сигнализации должен быть установлен в помещении опе-ративного дежурного таможенного органа.  В помещениях должны быть уста-новлены углекислотные или бромэтиловые огнетушители.     При составлении проекта  строительства  или  реконструкции  зданийобъекта  систему пожарной сигнализации разрабатывают специализированныеорганизации, имеющие лицензию на выполнение работ (услуг) в области по-жарной безопасности.     Состав и тип применяемого оборудования комплексной  системы  безо-пасности  определяются в техническом задании на оснащение АПП техничес-кими средствами охраны на этапе проектирования после выполнения проект-но-изыскательских  работ и разработки архитектурно-планировочного реше-ния объекта.     Подсистема должна  включать  в  себя  сигнализационные  датчики  исредства обнаружения, обеспечивающие охрану помещений, отдельных объек-тов (площадок) и территорий.  Сигнализационные датчики и средства обна-ружения устанавливаются:     - на дверях, окнах, перегородках охраняемых помещений, сейфах;     - на дверях кабин и павильонов паспортного  контроля,  в  проходахмежду кабинами (лучевые датчики);     - на дверцах шкафов с аппаратурой радиационного контроля;     - на устройствах наведения телекамер;     - по периметру территории объекта.     Система охранной  сигнализации периметра территории объекта должнасоздаваться на базе сигнализационного заградительного забора,  устанав-ливаемого на расстоянии не менее 15 м от края дороги.     Подсистема управления доступом в автоматизированной системе охраныдолжна обеспечивать:     - приоритетное включение телевизионных изображений при  сигнализа-ции  возникновения нештатных ситуаций (попытках взлома) в системе иден-тификации персонала и ранжированное управление доступом в зоны и  поме-щения объекта;     - управление автоматическими пропускными устройствами с  централь-ного пульта управления и с местного пульта у пропускного устройства;     - формирование сигналов для подсистемы охранной  сигнализации  привозникновении  нештатных ситуаций (попытках взлома) в подсистеме управ-ления доступом;     - формирование сигналов для охранного управления доступом;     - фиксирование информации обо всех событиях в базе данных с указа-нием даты, времени и адреса, ведение протокола работы.     Подсистема охранного телевидения должна обеспечивать:     - отображение  и автоматическую запись видеоинформации по сигналамот подсистем охранной и пожарной  сигнализации,  подсистемы  управлениядоступом;     - наблюдение за оперативной обстановкой на объекте;     - автоматическое  включение и наведение телекамер по сигналам тре-воги подсистемы охранной сигнализации;     - создание архива видеозаписей.     Телевизионные камеры следует устанавливать в досмотровых помещени-ях, секторах-накопителях, зонах досмотра транспорта, на контрольно-про-пускном пункте,  стоянках задержанного транспорта по периметру террито-рии  объекта.  Управление телевизионными камерами должно осуществлятьсядистанционно.  Место установки и количество телевизионных камер уточня-ются при проектировании объекта с учетом перечня помещений.     Подсистема охранного освещения должна обеспечивать:     - уровень  освещенности  на объекте,  достаточный для качественнойработы системы охранного телевидения совместно с системами  штатного  иаварийного освещения;     - автоматическое включение подсветки по сигналам от систем  охран-ной и пожарной сигнализации,  системы управления доступом в местах воз-никновения тревожной ситуации и прилегающих зонах,  а также по маршрутуследования к ним.     Подсистема сбора и обработки информации должна обеспечивать:     - вывод  на контрольные мониторы графического плана с отображениеммест возникновения сигнала тревоги, маршрутов следования к ним, видеои-зображений от соответствующих телекамер, а также инструкций по отработ-ке тревожных ситуаций;     - объединение информации обо всех событиях, произошедших в автома-тизированной системе охраны,  в комплексную базу данных с  возможностьюсоздания архивов за требуемый промежуток времени;     - простоту и удобство использования подсистемы,  а также однознач-ность трактовки отображаемых событий.     Система оперативного телевидения должна обеспечивать:     - дистанционное визуальное наблюдение за оперативной обстановкой врежимных зонах АПП,  на подступах к нему с целью контроля за технологи-ческим процессом пропуска пассажиров, оформления и досмотра транспорта,своевременного выявления неправомерных действий и принятия  оперативныхмер по их пресечению, а также наблюдение за охраняемыми объектами в лю-бое время суток;     - отображение и запись информации;     - создание архива видеозаписи.     Наружные телекамеры должны обеспечивать:     - разрешающую способность - не хуже 400 ТВЛ;     - отношение сигнал-шум - 50 дБ;     - работу при освещенности - от 0,1 до 50000 лк;     - питание  от  нестабилизированного  источника  постоянного тока -18-30 В;     - ток потребления - не более 1000 мА.     Телекамеры для помещений должны обеспечивать:     - разрешающую способность - не хуже 400 ТВЛ;     - отношение сигнал-шум - 50 дБ;     - работу при освещенности - от 0,1 до 50000 лк;     - питание от нестабилизированного  источника  постоянного  тока  -11-13 В;     - ток потребления - не более 150 мА.     Устройства наведения (сканеры) телекамер должны обеспечивать:     - угол сканирования по горизонтали - не менее 240 градусов;     - угол сканирования по вертикали - не менее 60 градусов;     - скорость сканирования - не более 10 градусов/секунду.     Видеоконтрольные устройства (видеомониторы) должны обеспечивать:     - отображение видеоинформации на экране, с размером по диагонали -не менее 31 см;     - возможность параллельного включения 2-3 мониторов;     - питание от сети переменного тока - 220 В/50 Гц.      Система защиты информации      Система защиты информации должна обеспечивать:     - защиту информации на объектах информатизации и в выделенных  по-мещениях от утечки по техническим каналам;     - защиту информации в автоматизированных системах и локальных  вы-числительных сетях от несанкционированного доступа;     - защиту информационных ресурсов от воздействия вредоносных  прог-рамм (программ-вирусов);     - конфиденциальность и целостность информации в телекоммуникацион-ных сетях и сетях связи;     - радиоэлектронную безопасность АПП.            II. Требования и состав к размещению технических                     средств пограничного контроля      В состав  технических  средств пограничного контроля входят средс-тва:     - паспортного контроля и регистрации данных;     - досмотра транспортных средств;     - охраны и сигнализации;     - телевизионного контроля;     - связи и автоматизации.     Автоматизированная система для проверки документов - размещается вкабинах и павильонах паспортного контроля.  В каждой кабине (павильоне)должны быть установлены:     - рабочая станция (компьютер "Pentium-4");     - считыватель документов;     - прибор проверки подлинности документов.     Рабочие станции должны быть установлены у начальника смены  и  де-журного  по  подразделению  пограничного контроля.  Комнаты углубленнойпроверки документов должны быть оборудованы  криминалистическим  блокомдля  исследования  документов,  микроскопом  и копировальным аппаратом.Сбор, хранение и обработка данных ведется через установленную локальнуюсеть серверами баз данных и приложений.     Технические средства досмотра транспортных средств - подразделяют-ся на средства:     - обнаружения нарушителей, укрывающихся в грузовых отделениях (от-секах) транспортных средствах и в перевозимых грузах;     - обнаружения предметов, запрещенных к ввозу и вывозу;     - детекторы,  политесты обнаружения наркотических,  взрывчатых ве-ществ.     Система охранной  сигнализации - строится с применением сигнализа-ционной аппаратуры.     Датчики охранной сигнализации устанавливаются:     - на дверях и окнах охраняемых служебных помещений;     - на окнах и дверях кабин и павильонах паспортного контроля;     - на дверцах шкафов;     - на устройствах наведения телекамер;     - в проходах кабин паспортного контроля (лучевые).     Периметр территории  пункта пропуска оборудуется сигнализационнымиограждениями, шлагбаумами и сигнализационными воротами.     Аппаратура сбора и обработки информации от сигнализационных датчи-ков устанавливается в помещении дежурного по подразделению пограничногоконтроля.     Система телевизионного наблюдения - строится с применением промыш-ленных высокочувствительных телевизионных установок. Телекамеры системыразмещаются в здании и на территории пункта пропуска, позволяющие вестинаблюдение за обстановкой.     Видеоконтрольные устройства, пульты управления телекамерами разме-щаются в помещении дежурного по подразделению пограничного контроля.     Система УКВ радиосвязи - строится на базе стационарных  радиостан-ций  УКВ-диапазона  и носимых УКВ-радиостанций в количестве 4-12 штук взависимости от категории пункта пропуска.  Антенные устройства  стацио-нарных  радиостанций должны быть размещены на крыше зданий пунктов про-пуска,  а сами станции - в помещении дежурного по подразделению  погра-ничного контроля.     Система телефонной связи - строится на базе любого коммутатора ди-ректорской  связи  из расчета не менее 20 абонентов,  устанавливаемых впомещении дежурного по подразделению пограничного контроля.     Телефонные аппараты, подключаемые к коммутатору, устанавливаются вкабинетах должностных лиц подразделения пограничного контроля и по воз-можности, в местах службы пограничных нарядов.     Во всех помещениях пункта пропуска и боксах углубленного  досмотраавтотранспорта должна быть предусмотрена установка телефонных аппаратоввнутренней АТС.     Состав оборудования и канальная емкость системы передачи данных:     - 1 цифровой канал 128 кбит/с для включения локальной сети  погра-ничного контроля в Единую межведомственную информационную сеть;     - 2-4 абонентских линии с двухпроводным окончанием  для  включениятаксофонов городской и междугородней связи.     Состав технологического оборудования пунктов пропуска входят:     - кабины паспортного контроля, устанавливаемые в пропускном модулепункта пропуска;     - бюгели (ограждения);     - ворота, шлагбаумы и светофоры.</w:t>
      </w:r>
    </w:p>
    <w:p>
      <w:pPr>
        <w:spacing w:after="120"/>
        <w:jc w:val="both"/>
      </w:pPr>
      <w:r>
        <w:rPr>
          <w:rFonts w:ascii="Arial" w:cs="Arial" w:eastAsia="Arial" w:hAnsi="Arial"/>
          <w:sz w:val="20"/>
          <w:szCs w:val="20"/>
        </w:rPr>
        <w:t xml:space="preserve">III. Технические требования к автомобильным весам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1.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Стационарные электронные автомобильные весы (далее - весы) предназначены для контрольного (динамического поосевого) взвешивания грузовых автотранспортных средств на пунктах пропуска через государственную границу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 Требование к весам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 В состав весов входят:</w:t>
      </w:r>
    </w:p>
    <w:p>
      <w:pPr>
        <w:spacing w:after="120"/>
        <w:ind w:firstLine="567"/>
        <w:jc w:val="both"/>
      </w:pPr>
      <w:r>
        <w:rPr>
          <w:rFonts w:ascii="Arial" w:cs="Arial" w:eastAsia="Arial" w:hAnsi="Arial"/>
          <w:sz w:val="20"/>
          <w:szCs w:val="20"/>
        </w:rPr>
        <w:t xml:space="preserve">1) Грузоприемная платформа, предназначенная для динамического (поосевого) взвешивания грузового автотранспорта в движении.</w:t>
      </w:r>
    </w:p>
    <w:p>
      <w:pPr>
        <w:spacing w:after="120"/>
        <w:ind w:firstLine="567"/>
        <w:jc w:val="both"/>
      </w:pPr>
      <w:r>
        <w:rPr>
          <w:rFonts w:ascii="Arial" w:cs="Arial" w:eastAsia="Arial" w:hAnsi="Arial"/>
          <w:sz w:val="20"/>
          <w:szCs w:val="20"/>
        </w:rPr>
        <w:t xml:space="preserve">2) Комплект ограничителей от продольных смещений грузоприемных платформ.</w:t>
      </w:r>
    </w:p>
    <w:p>
      <w:pPr>
        <w:spacing w:after="120"/>
        <w:ind w:firstLine="567"/>
        <w:jc w:val="both"/>
      </w:pPr>
      <w:r>
        <w:rPr>
          <w:rFonts w:ascii="Arial" w:cs="Arial" w:eastAsia="Arial" w:hAnsi="Arial"/>
          <w:sz w:val="20"/>
          <w:szCs w:val="20"/>
        </w:rPr>
        <w:t xml:space="preserve">3) Комплект ограничителей по длине грузоприемного устройства для обеспечения безопасного проезда через весы (в случае наземной компоновки с заездными пандусами).</w:t>
      </w:r>
    </w:p>
    <w:p>
      <w:pPr>
        <w:spacing w:after="120"/>
        <w:ind w:firstLine="567"/>
        <w:jc w:val="both"/>
      </w:pPr>
      <w:r>
        <w:rPr>
          <w:rFonts w:ascii="Arial" w:cs="Arial" w:eastAsia="Arial" w:hAnsi="Arial"/>
          <w:sz w:val="20"/>
          <w:szCs w:val="20"/>
        </w:rPr>
        <w:t xml:space="preserve">4) Весовой терминал с интерфейсом RS232/RS485, с кабелем подключения к персональному компьютеру (далее - ПК).</w:t>
      </w:r>
    </w:p>
    <w:p>
      <w:pPr>
        <w:spacing w:after="120"/>
        <w:ind w:firstLine="567"/>
        <w:jc w:val="both"/>
      </w:pPr>
      <w:r>
        <w:rPr>
          <w:rFonts w:ascii="Arial" w:cs="Arial" w:eastAsia="Arial" w:hAnsi="Arial"/>
          <w:sz w:val="20"/>
          <w:szCs w:val="20"/>
        </w:rPr>
        <w:t xml:space="preserve">5) Динамический преобразователь с кабельной разводкой для подключения к датчикам и ПК (для динамического грузоприемного устройства поосевого взвешивания).</w:t>
      </w:r>
    </w:p>
    <w:p>
      <w:pPr>
        <w:spacing w:after="120"/>
        <w:ind w:firstLine="567"/>
        <w:jc w:val="both"/>
      </w:pPr>
      <w:r>
        <w:rPr>
          <w:rFonts w:ascii="Arial" w:cs="Arial" w:eastAsia="Arial" w:hAnsi="Arial"/>
          <w:sz w:val="20"/>
          <w:szCs w:val="20"/>
        </w:rPr>
        <w:t xml:space="preserve">6) Эксплуатационная документация.</w:t>
      </w:r>
    </w:p>
    <w:p>
      <w:pPr>
        <w:spacing w:after="120"/>
        <w:ind w:firstLine="567"/>
        <w:jc w:val="both"/>
      </w:pPr>
      <w:r>
        <w:rPr>
          <w:rFonts w:ascii="Arial" w:cs="Arial" w:eastAsia="Arial" w:hAnsi="Arial"/>
          <w:sz w:val="20"/>
          <w:szCs w:val="20"/>
        </w:rPr>
        <w:t xml:space="preserve">7) ПК с предустановленным "Windows XP" и программным обеспечением для весов.</w:t>
      </w:r>
    </w:p>
    <w:p>
      <w:pPr>
        <w:spacing w:after="120"/>
        <w:ind w:firstLine="567"/>
        <w:jc w:val="both"/>
      </w:pPr>
      <w:r>
        <w:rPr>
          <w:rFonts w:ascii="Arial" w:cs="Arial" w:eastAsia="Arial" w:hAnsi="Arial"/>
          <w:sz w:val="20"/>
          <w:szCs w:val="20"/>
        </w:rPr>
        <w:t xml:space="preserve">8) Программное обеспечение на "CD-диске" для последующей установки на ПК.</w:t>
      </w:r>
    </w:p>
    <w:p>
      <w:pPr>
        <w:spacing w:after="120"/>
        <w:ind w:firstLine="567"/>
        <w:jc w:val="both"/>
      </w:pPr>
      <w:r>
        <w:rPr>
          <w:rFonts w:ascii="Arial" w:cs="Arial" w:eastAsia="Arial" w:hAnsi="Arial"/>
          <w:sz w:val="20"/>
          <w:szCs w:val="20"/>
        </w:rPr>
        <w:t xml:space="preserve">9) Технические требования на изготовление основания весов с вариантами возведения в наземной компоновке, с пандусами и в приямок (на уровне дорожного покрытия).</w:t>
      </w:r>
    </w:p>
    <w:p>
      <w:pPr>
        <w:spacing w:after="120"/>
        <w:ind w:firstLine="567"/>
        <w:jc w:val="both"/>
      </w:pPr>
      <w:r>
        <w:rPr>
          <w:rFonts w:ascii="Arial" w:cs="Arial" w:eastAsia="Arial" w:hAnsi="Arial"/>
          <w:sz w:val="20"/>
          <w:szCs w:val="20"/>
        </w:rPr>
        <w:t xml:space="preserve">2. Весы должны соответствовать параметрам, приведенным в приложении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 Требования к эксплуатационной документации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 В комплект эксплуатационной документации весов должны входить:</w:t>
      </w:r>
    </w:p>
    <w:p>
      <w:pPr>
        <w:spacing w:after="120"/>
        <w:ind w:firstLine="567"/>
        <w:jc w:val="both"/>
      </w:pPr>
      <w:r>
        <w:rPr>
          <w:rFonts w:ascii="Arial" w:cs="Arial" w:eastAsia="Arial" w:hAnsi="Arial"/>
          <w:sz w:val="20"/>
          <w:szCs w:val="20"/>
        </w:rPr>
        <w:t xml:space="preserve">1) Паспорт (формуляр) на весы.</w:t>
      </w:r>
    </w:p>
    <w:p>
      <w:pPr>
        <w:spacing w:after="120"/>
        <w:ind w:firstLine="567"/>
        <w:jc w:val="both"/>
      </w:pPr>
      <w:r>
        <w:rPr>
          <w:rFonts w:ascii="Arial" w:cs="Arial" w:eastAsia="Arial" w:hAnsi="Arial"/>
          <w:sz w:val="20"/>
          <w:szCs w:val="20"/>
        </w:rPr>
        <w:t xml:space="preserve">2) Руководство по эксплуатации весов.</w:t>
      </w:r>
    </w:p>
    <w:p>
      <w:pPr>
        <w:spacing w:after="120"/>
        <w:ind w:firstLine="567"/>
        <w:jc w:val="both"/>
      </w:pPr>
      <w:r>
        <w:rPr>
          <w:rFonts w:ascii="Arial" w:cs="Arial" w:eastAsia="Arial" w:hAnsi="Arial"/>
          <w:sz w:val="20"/>
          <w:szCs w:val="20"/>
        </w:rPr>
        <w:t xml:space="preserve">3) Паспорт (формуляр) на весовой терминал.</w:t>
      </w:r>
    </w:p>
    <w:p>
      <w:pPr>
        <w:spacing w:after="120"/>
        <w:ind w:firstLine="567"/>
        <w:jc w:val="both"/>
      </w:pPr>
      <w:r>
        <w:rPr>
          <w:rFonts w:ascii="Arial" w:cs="Arial" w:eastAsia="Arial" w:hAnsi="Arial"/>
          <w:sz w:val="20"/>
          <w:szCs w:val="20"/>
        </w:rPr>
        <w:t xml:space="preserve">4) Руководство по эксплуатации на весовой терминал.</w:t>
      </w:r>
    </w:p>
    <w:p>
      <w:pPr>
        <w:spacing w:after="120"/>
        <w:ind w:firstLine="567"/>
        <w:jc w:val="both"/>
      </w:pPr>
      <w:r>
        <w:rPr>
          <w:rFonts w:ascii="Arial" w:cs="Arial" w:eastAsia="Arial" w:hAnsi="Arial"/>
          <w:sz w:val="20"/>
          <w:szCs w:val="20"/>
        </w:rPr>
        <w:t xml:space="preserve">5) Руководство пользователя по программному обеспечению.</w:t>
      </w:r>
    </w:p>
    <w:p>
      <w:pPr>
        <w:spacing w:after="120"/>
        <w:ind w:firstLine="567"/>
        <w:jc w:val="both"/>
      </w:pPr>
      <w:r>
        <w:rPr>
          <w:rFonts w:ascii="Arial" w:cs="Arial" w:eastAsia="Arial" w:hAnsi="Arial"/>
          <w:sz w:val="20"/>
          <w:szCs w:val="20"/>
        </w:rPr>
        <w:t xml:space="preserve">6) Вышеуказанная документация должна быть представлена на государственном и/или официальном языках.</w:t>
      </w:r>
    </w:p>
    <w:p>
      <w:pPr>
        <w:spacing w:after="120"/>
        <w:ind w:firstLine="567"/>
        <w:jc w:val="both"/>
      </w:pPr>
      <w:r>
        <w:rPr>
          <w:rFonts w:ascii="Arial" w:cs="Arial" w:eastAsia="Arial" w:hAnsi="Arial"/>
          <w:sz w:val="20"/>
          <w:szCs w:val="20"/>
        </w:rPr>
        <w:t xml:space="preserve">4. Весы должны иметь эксплуатационную документацию на русском языке, содержащую в обязательном порядке сведения о техническом ресурсе.</w:t>
      </w:r>
    </w:p>
    <w:p>
      <w:pPr>
        <w:spacing w:after="120"/>
        <w:ind w:firstLine="567"/>
        <w:jc w:val="both"/>
      </w:pPr>
      <w:r>
        <w:rPr>
          <w:rFonts w:ascii="Arial" w:cs="Arial" w:eastAsia="Arial" w:hAnsi="Arial"/>
          <w:sz w:val="20"/>
          <w:szCs w:val="20"/>
        </w:rPr>
        <w:t xml:space="preserve">5. Эксплуатационная документация должна быть представлена на государственном и/или официальном языках, либо с заверенным переводом с оригинала.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 Требования к программному обеспечению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 Программное обеспечение (далее - ПО) должно соответствовать нижеуказанным требованиям:</w:t>
      </w:r>
    </w:p>
    <w:p>
      <w:pPr>
        <w:spacing w:after="120"/>
        <w:ind w:firstLine="567"/>
        <w:jc w:val="both"/>
      </w:pPr>
      <w:r>
        <w:rPr>
          <w:rFonts w:ascii="Arial" w:cs="Arial" w:eastAsia="Arial" w:hAnsi="Arial"/>
          <w:sz w:val="20"/>
          <w:szCs w:val="20"/>
        </w:rPr>
        <w:t xml:space="preserve">1) Функциональная сгруппированность - меню (или их аналоги) должно быть сгруппировано в соответствии с функциональными задачами и технологией работы.</w:t>
      </w:r>
    </w:p>
    <w:p>
      <w:pPr>
        <w:spacing w:after="120"/>
        <w:ind w:firstLine="567"/>
        <w:jc w:val="both"/>
      </w:pPr>
      <w:r>
        <w:rPr>
          <w:rFonts w:ascii="Arial" w:cs="Arial" w:eastAsia="Arial" w:hAnsi="Arial"/>
          <w:sz w:val="20"/>
          <w:szCs w:val="20"/>
        </w:rPr>
        <w:t xml:space="preserve">2) Однофункциональность - каждому пункту меню (или его аналогу) должна соответствовать только одна выполняемая функция.</w:t>
      </w:r>
    </w:p>
    <w:p>
      <w:pPr>
        <w:spacing w:after="120"/>
        <w:ind w:firstLine="567"/>
        <w:jc w:val="both"/>
      </w:pPr>
      <w:r>
        <w:rPr>
          <w:rFonts w:ascii="Arial" w:cs="Arial" w:eastAsia="Arial" w:hAnsi="Arial"/>
          <w:sz w:val="20"/>
          <w:szCs w:val="20"/>
        </w:rPr>
        <w:t xml:space="preserve">3) Одновариантность - то или иное действие должно выполняться только одним способом.</w:t>
      </w:r>
    </w:p>
    <w:p>
      <w:pPr>
        <w:spacing w:after="120"/>
        <w:ind w:firstLine="567"/>
        <w:jc w:val="both"/>
      </w:pPr>
      <w:r>
        <w:rPr>
          <w:rFonts w:ascii="Arial" w:cs="Arial" w:eastAsia="Arial" w:hAnsi="Arial"/>
          <w:sz w:val="20"/>
          <w:szCs w:val="20"/>
        </w:rPr>
        <w:t xml:space="preserve">4) Однозначность в понимании - пункты меню (или их аналоги) должны изображаться так, чтобы пользователь однозначно понимал их назначение.</w:t>
      </w:r>
    </w:p>
    <w:p>
      <w:pPr>
        <w:spacing w:after="120"/>
        <w:ind w:firstLine="567"/>
        <w:jc w:val="both"/>
      </w:pPr>
      <w:r>
        <w:rPr>
          <w:rFonts w:ascii="Arial" w:cs="Arial" w:eastAsia="Arial" w:hAnsi="Arial"/>
          <w:sz w:val="20"/>
          <w:szCs w:val="20"/>
        </w:rPr>
        <w:t xml:space="preserve">5) Пользование ПО должно осуществляться без привлечения языков программирования.</w:t>
      </w:r>
    </w:p>
    <w:p>
      <w:pPr>
        <w:spacing w:after="120"/>
        <w:ind w:firstLine="567"/>
        <w:jc w:val="both"/>
      </w:pPr>
      <w:r>
        <w:rPr>
          <w:rFonts w:ascii="Arial" w:cs="Arial" w:eastAsia="Arial" w:hAnsi="Arial"/>
          <w:sz w:val="20"/>
          <w:szCs w:val="20"/>
        </w:rPr>
        <w:t xml:space="preserve">7. ПО должно:</w:t>
      </w:r>
    </w:p>
    <w:p>
      <w:pPr>
        <w:spacing w:after="120"/>
        <w:ind w:firstLine="567"/>
        <w:jc w:val="both"/>
      </w:pPr>
      <w:r>
        <w:rPr>
          <w:rFonts w:ascii="Arial" w:cs="Arial" w:eastAsia="Arial" w:hAnsi="Arial"/>
          <w:sz w:val="20"/>
          <w:szCs w:val="20"/>
        </w:rPr>
        <w:t xml:space="preserve">1) Включать программы для считывания и учета результатов взвешиваний. Осуществлять доступ к результатам взвешиваний.</w:t>
      </w:r>
    </w:p>
    <w:p>
      <w:pPr>
        <w:spacing w:after="120"/>
        <w:ind w:firstLine="567"/>
        <w:jc w:val="both"/>
      </w:pPr>
      <w:r>
        <w:rPr>
          <w:rFonts w:ascii="Arial" w:cs="Arial" w:eastAsia="Arial" w:hAnsi="Arial"/>
          <w:sz w:val="20"/>
          <w:szCs w:val="20"/>
        </w:rPr>
        <w:t xml:space="preserve">2) Использоваться как самостоятельное приложение для индикации результатов взвешиваний на дисплее ПК и использоваться в составе многокомпонентного приложения, предоставляя данные внешним программам.</w:t>
      </w:r>
    </w:p>
    <w:p>
      <w:pPr>
        <w:spacing w:after="120"/>
        <w:ind w:firstLine="567"/>
        <w:jc w:val="both"/>
      </w:pPr>
      <w:r>
        <w:rPr>
          <w:rFonts w:ascii="Arial" w:cs="Arial" w:eastAsia="Arial" w:hAnsi="Arial"/>
          <w:sz w:val="20"/>
          <w:szCs w:val="20"/>
        </w:rPr>
        <w:t xml:space="preserve">3) Соответствовать параметрам, приведенным в приложении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5. Требования к файлу результатов взвешивания</w:t>
      </w:r>
    </w:p>
    <w:p>
      <w:pPr>
        <w:spacing w:after="120"/>
        <w:ind w:firstLine="567"/>
        <w:jc w:val="both"/>
      </w:pPr>
      <w:r>
        <w:rPr>
          <w:rFonts w:ascii="Arial" w:cs="Arial" w:eastAsia="Arial" w:hAnsi="Arial"/>
          <w:sz w:val="20"/>
          <w:szCs w:val="20"/>
        </w:rPr>
        <w:t xml:space="preserve">для передачи данных в автоматизированную</w:t>
      </w:r>
    </w:p>
    <w:p>
      <w:pPr>
        <w:spacing w:after="120"/>
        <w:ind w:firstLine="567"/>
        <w:jc w:val="both"/>
      </w:pPr>
      <w:r>
        <w:rPr>
          <w:rFonts w:ascii="Arial" w:cs="Arial" w:eastAsia="Arial" w:hAnsi="Arial"/>
          <w:sz w:val="20"/>
          <w:szCs w:val="20"/>
        </w:rPr>
        <w:t xml:space="preserve">информационную систему таможенной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8. Файл должен быть XML-формата.</w:t>
      </w:r>
    </w:p>
    <w:p>
      <w:pPr>
        <w:spacing w:after="120"/>
        <w:ind w:firstLine="567"/>
        <w:jc w:val="both"/>
      </w:pPr>
      <w:r>
        <w:rPr>
          <w:rFonts w:ascii="Arial" w:cs="Arial" w:eastAsia="Arial" w:hAnsi="Arial"/>
          <w:sz w:val="20"/>
          <w:szCs w:val="20"/>
        </w:rPr>
        <w:t xml:space="preserve">9. Файл должен содержать следующую информацию:</w:t>
      </w:r>
    </w:p>
    <w:p>
      <w:pPr>
        <w:spacing w:after="120"/>
        <w:ind w:firstLine="567"/>
        <w:jc w:val="both"/>
      </w:pPr>
      <w:r>
        <w:rPr>
          <w:rFonts w:ascii="Arial" w:cs="Arial" w:eastAsia="Arial" w:hAnsi="Arial"/>
          <w:sz w:val="20"/>
          <w:szCs w:val="20"/>
        </w:rPr>
        <w:t xml:space="preserve">1) номер взвешивания (8 десятичных разрядов);</w:t>
      </w:r>
    </w:p>
    <w:p>
      <w:pPr>
        <w:spacing w:after="120"/>
        <w:ind w:firstLine="567"/>
        <w:jc w:val="both"/>
      </w:pPr>
      <w:r>
        <w:rPr>
          <w:rFonts w:ascii="Arial" w:cs="Arial" w:eastAsia="Arial" w:hAnsi="Arial"/>
          <w:sz w:val="20"/>
          <w:szCs w:val="20"/>
        </w:rPr>
        <w:t xml:space="preserve">2) дата и время взвешивания в формате "ГГ-ММ-ДД: чч-мм":</w:t>
      </w:r>
    </w:p>
    <w:p>
      <w:pPr>
        <w:spacing w:after="120"/>
        <w:ind w:firstLine="567"/>
        <w:jc w:val="both"/>
      </w:pPr>
      <w:r>
        <w:rPr>
          <w:rFonts w:ascii="Arial" w:cs="Arial" w:eastAsia="Arial" w:hAnsi="Arial"/>
          <w:sz w:val="20"/>
          <w:szCs w:val="20"/>
        </w:rPr>
        <w:t xml:space="preserve">- ГГ - год;</w:t>
      </w:r>
    </w:p>
    <w:p>
      <w:pPr>
        <w:spacing w:after="120"/>
        <w:ind w:firstLine="567"/>
        <w:jc w:val="both"/>
      </w:pPr>
      <w:r>
        <w:rPr>
          <w:rFonts w:ascii="Arial" w:cs="Arial" w:eastAsia="Arial" w:hAnsi="Arial"/>
          <w:sz w:val="20"/>
          <w:szCs w:val="20"/>
        </w:rPr>
        <w:t xml:space="preserve">- ММ - месяц;</w:t>
      </w:r>
    </w:p>
    <w:p>
      <w:pPr>
        <w:spacing w:after="120"/>
        <w:ind w:firstLine="567"/>
        <w:jc w:val="both"/>
      </w:pPr>
      <w:r>
        <w:rPr>
          <w:rFonts w:ascii="Arial" w:cs="Arial" w:eastAsia="Arial" w:hAnsi="Arial"/>
          <w:sz w:val="20"/>
          <w:szCs w:val="20"/>
        </w:rPr>
        <w:t xml:space="preserve">- ДД - день;</w:t>
      </w:r>
    </w:p>
    <w:p>
      <w:pPr>
        <w:spacing w:after="120"/>
        <w:ind w:firstLine="567"/>
        <w:jc w:val="both"/>
      </w:pPr>
      <w:r>
        <w:rPr>
          <w:rFonts w:ascii="Arial" w:cs="Arial" w:eastAsia="Arial" w:hAnsi="Arial"/>
          <w:sz w:val="20"/>
          <w:szCs w:val="20"/>
        </w:rPr>
        <w:t xml:space="preserve">- чч - час;</w:t>
      </w:r>
    </w:p>
    <w:p>
      <w:pPr>
        <w:spacing w:after="120"/>
        <w:ind w:firstLine="567"/>
        <w:jc w:val="both"/>
      </w:pPr>
      <w:r>
        <w:rPr>
          <w:rFonts w:ascii="Arial" w:cs="Arial" w:eastAsia="Arial" w:hAnsi="Arial"/>
          <w:sz w:val="20"/>
          <w:szCs w:val="20"/>
        </w:rPr>
        <w:t xml:space="preserve">- мм - минута;</w:t>
      </w:r>
    </w:p>
    <w:p>
      <w:pPr>
        <w:spacing w:after="120"/>
        <w:ind w:firstLine="567"/>
        <w:jc w:val="both"/>
      </w:pPr>
      <w:r>
        <w:rPr>
          <w:rFonts w:ascii="Arial" w:cs="Arial" w:eastAsia="Arial" w:hAnsi="Arial"/>
          <w:sz w:val="20"/>
          <w:szCs w:val="20"/>
        </w:rPr>
        <w:t xml:space="preserve">а) ФИО - фамилия и инициалы оператора;</w:t>
      </w:r>
    </w:p>
    <w:p>
      <w:pPr>
        <w:spacing w:after="120"/>
        <w:ind w:firstLine="567"/>
        <w:jc w:val="both"/>
      </w:pPr>
      <w:r>
        <w:rPr>
          <w:rFonts w:ascii="Arial" w:cs="Arial" w:eastAsia="Arial" w:hAnsi="Arial"/>
          <w:sz w:val="20"/>
          <w:szCs w:val="20"/>
        </w:rPr>
        <w:t xml:space="preserve">- вес в килограммах;</w:t>
      </w:r>
    </w:p>
    <w:p>
      <w:pPr>
        <w:spacing w:after="120"/>
        <w:ind w:firstLine="567"/>
        <w:jc w:val="both"/>
      </w:pPr>
      <w:r>
        <w:rPr>
          <w:rFonts w:ascii="Arial" w:cs="Arial" w:eastAsia="Arial" w:hAnsi="Arial"/>
          <w:sz w:val="20"/>
          <w:szCs w:val="20"/>
        </w:rPr>
        <w:t xml:space="preserve">- номер машины;</w:t>
      </w:r>
    </w:p>
    <w:p>
      <w:pPr>
        <w:spacing w:after="120"/>
        <w:ind w:firstLine="567"/>
        <w:jc w:val="both"/>
      </w:pPr>
      <w:r>
        <w:rPr>
          <w:rFonts w:ascii="Arial" w:cs="Arial" w:eastAsia="Arial" w:hAnsi="Arial"/>
          <w:sz w:val="20"/>
          <w:szCs w:val="20"/>
        </w:rPr>
        <w:t xml:space="preserve">б) заголовок файла должен иметь следующий формат:</w:t>
      </w:r>
    </w:p>
    <w:p>
      <w:pPr>
        <w:spacing w:after="120"/>
        <w:ind w:firstLine="567"/>
        <w:jc w:val="both"/>
      </w:pPr>
      <w:r>
        <w:rPr>
          <w:rFonts w:ascii="Arial" w:cs="Arial" w:eastAsia="Arial" w:hAnsi="Arial"/>
          <w:sz w:val="20"/>
          <w:szCs w:val="20"/>
        </w:rPr>
        <w:t xml:space="preserve">- NNNNNNNNN_DDDDDDDD_TTTT.XML, где:</w:t>
      </w:r>
    </w:p>
    <w:p>
      <w:pPr>
        <w:spacing w:after="120"/>
        <w:ind w:firstLine="567"/>
        <w:jc w:val="both"/>
      </w:pPr>
      <w:r>
        <w:rPr>
          <w:rFonts w:ascii="Arial" w:cs="Arial" w:eastAsia="Arial" w:hAnsi="Arial"/>
          <w:sz w:val="20"/>
          <w:szCs w:val="20"/>
        </w:rPr>
        <w:t xml:space="preserve">- NNNNNNNN - номер взвешивания (восьмиразрядное число с лидирующими нулями);</w:t>
      </w:r>
    </w:p>
    <w:p>
      <w:pPr>
        <w:spacing w:after="120"/>
        <w:ind w:firstLine="567"/>
        <w:jc w:val="both"/>
      </w:pPr>
      <w:r>
        <w:rPr>
          <w:rFonts w:ascii="Arial" w:cs="Arial" w:eastAsia="Arial" w:hAnsi="Arial"/>
          <w:sz w:val="20"/>
          <w:szCs w:val="20"/>
        </w:rPr>
        <w:t xml:space="preserve">- DDDDDDDD - дата взвешивания, без пробелов: ГОД, МЕСЯЦ, ДЕНЬ;</w:t>
      </w:r>
    </w:p>
    <w:p>
      <w:pPr>
        <w:spacing w:after="120"/>
        <w:ind w:firstLine="567"/>
        <w:jc w:val="both"/>
      </w:pPr>
      <w:r>
        <w:rPr>
          <w:rFonts w:ascii="Arial" w:cs="Arial" w:eastAsia="Arial" w:hAnsi="Arial"/>
          <w:sz w:val="20"/>
          <w:szCs w:val="20"/>
        </w:rPr>
        <w:t xml:space="preserve">- TTTT - время взвешивания, без пробелов: ЧАСЫ, МИНУТЫ;</w:t>
      </w:r>
    </w:p>
    <w:p>
      <w:pPr>
        <w:spacing w:after="120"/>
        <w:ind w:firstLine="567"/>
        <w:jc w:val="both"/>
      </w:pPr>
      <w:r>
        <w:rPr>
          <w:rFonts w:ascii="Arial" w:cs="Arial" w:eastAsia="Arial" w:hAnsi="Arial"/>
          <w:sz w:val="20"/>
          <w:szCs w:val="20"/>
        </w:rPr>
        <w:t xml:space="preserve">- номер взвешивания, дата и время должны быть разделены знаком "_" - нижнее подчеркивание;</w:t>
      </w:r>
    </w:p>
    <w:p>
      <w:pPr>
        <w:spacing w:after="120"/>
        <w:ind w:firstLine="567"/>
        <w:jc w:val="both"/>
      </w:pPr>
      <w:r>
        <w:rPr>
          <w:rFonts w:ascii="Arial" w:cs="Arial" w:eastAsia="Arial" w:hAnsi="Arial"/>
          <w:sz w:val="20"/>
          <w:szCs w:val="20"/>
        </w:rPr>
        <w:t xml:space="preserve">- XML - расширение файла.</w:t>
      </w:r>
    </w:p>
    <w:p>
      <w:pPr>
        <w:spacing w:after="120"/>
        <w:ind w:firstLine="567"/>
        <w:jc w:val="both"/>
      </w:pPr>
      <w:r>
        <w:rPr>
          <w:rFonts w:ascii="Arial" w:cs="Arial" w:eastAsia="Arial" w:hAnsi="Arial"/>
          <w:sz w:val="20"/>
          <w:szCs w:val="20"/>
        </w:rPr>
        <w:t xml:space="preserve">Пример заголовка файла: 00000345_20091015_1345.XML.</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 Требования к информационной совместимости</w:t>
      </w:r>
    </w:p>
    <w:p>
      <w:pPr>
        <w:spacing w:after="120"/>
        <w:ind w:firstLine="567"/>
        <w:jc w:val="both"/>
      </w:pPr>
      <w:r>
        <w:rPr>
          <w:rFonts w:ascii="Arial" w:cs="Arial" w:eastAsia="Arial" w:hAnsi="Arial"/>
          <w:sz w:val="20"/>
          <w:szCs w:val="20"/>
        </w:rPr>
        <w:t xml:space="preserve">с другими системами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10. Программное обеспечение весов должно интегрироваться с другими системами сбора и передачи информации (системами считывания и распознавания автомобильных номеров, системами определения габаритных размеров грузовых автотранспортных средств, системами контроля за перемещением делящихся и радиоактивных материалов) на локальном рабочем месте (одном ПК) оператора (должностного лица таможенных органов).</w:t>
      </w:r>
    </w:p>
    <w:p>
      <w:pPr>
        <w:spacing w:after="120"/>
        <w:ind w:firstLine="567"/>
        <w:jc w:val="both"/>
      </w:pPr>
      <w:r>
        <w:rPr>
          <w:rFonts w:ascii="Arial" w:cs="Arial" w:eastAsia="Arial" w:hAnsi="Arial"/>
          <w:sz w:val="20"/>
          <w:szCs w:val="20"/>
        </w:rPr>
        <w:t xml:space="preserve">11. В рамках функционирования системы должна быть реализована автоматическая передача сформированного программным обеспечением отчета (см. пункт 4) в другую взаимосвязанную автоматизированную систему (см. пункт 10) стандартными средствами "Windows".</w:t>
      </w:r>
    </w:p>
    <w:p>
      <w:pPr>
        <w:spacing w:after="120"/>
        <w:ind w:firstLine="567"/>
        <w:jc w:val="both"/>
      </w:pPr>
      <w:r>
        <w:rPr>
          <w:rFonts w:ascii="Arial" w:cs="Arial" w:eastAsia="Arial" w:hAnsi="Arial"/>
          <w:sz w:val="20"/>
          <w:szCs w:val="20"/>
        </w:rPr>
        <w:t xml:space="preserve">12. Организация сбора и передачи информации должна осуществляться посредством специальной утилиты выгрузки данных, которая должна обеспечить выгрузку данных в полном объеме за определенный учетный период.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 Сертификация и аттестация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13. Сертификат OIML на соответствие рекомендациям Международной организации законодательной метрологии (МОЗМ).</w:t>
      </w:r>
    </w:p>
    <w:p>
      <w:pPr>
        <w:spacing w:after="120"/>
        <w:ind w:firstLine="567"/>
        <w:jc w:val="both"/>
      </w:pPr>
      <w:r>
        <w:rPr>
          <w:rFonts w:ascii="Arial" w:cs="Arial" w:eastAsia="Arial" w:hAnsi="Arial"/>
          <w:sz w:val="20"/>
          <w:szCs w:val="20"/>
        </w:rPr>
        <w:t xml:space="preserve">14. Сертификат соответствия производства весов предприятия-изготовителя стандартам ИСО.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8. Дополнительное требование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15. Процесс взвешивания должен происходить в автоматизированном режиме. Действия оператора ограничиваются регулированием открытия/закрытия шлагбаума в начале и в конце процесса взвешивания автотранспортного средства.</w:t>
      </w:r>
    </w:p>
    <w:p>
      <w:pPr>
        <w:spacing w:after="120"/>
        <w:ind w:firstLine="567"/>
        <w:jc w:val="both"/>
      </w:pPr>
      <w:r>
        <w:rPr>
          <w:rFonts w:ascii="Arial" w:cs="Arial" w:eastAsia="Arial" w:hAnsi="Arial"/>
          <w:sz w:val="20"/>
          <w:szCs w:val="20"/>
        </w:rPr>
        <w:t xml:space="preserve">16. В отдельных автомобильных пунктах пропуска со сложными географико-климатическими условиями (высокогорье и продолжительный холодный период) грузоприемная платформа весов устанавливается в закрытом помещении, специально приспособленном для защиты оборудования от атмосферных осадков и снежных заносов.</w:t>
      </w:r>
    </w:p>
    <w:p>
      <w:pPr>
        <w:spacing w:after="120"/>
        <w:jc w:val="both"/>
      </w:pPr>
      <w:r>
        <w:rPr>
          <w:rFonts w:ascii="Arial" w:cs="Arial" w:eastAsia="Arial" w:hAnsi="Arial"/>
          <w:sz w:val="20"/>
          <w:szCs w:val="20"/>
        </w:rPr>
        <w:t xml:space="preserve">Приложение 1</w:t>
      </w:r>
    </w:p>
    <w:p>
      <w:pPr>
        <w:spacing w:after="120"/>
        <w:jc w:val="both"/>
      </w:pPr>
      <w:r>
        <w:rPr>
          <w:rFonts w:ascii="Arial" w:cs="Arial" w:eastAsia="Arial" w:hAnsi="Arial"/>
          <w:sz w:val="20"/>
          <w:szCs w:val="20"/>
        </w:rPr>
        <w:t xml:space="preserve">(В редакции постановления Правительства КР от</w:t>
      </w:r>
    </w:p>
    <w:p>
      <w:pPr>
        <w:spacing w:after="120"/>
        <w:ind w:firstLine="708"/>
        <w:jc w:val="both"/>
      </w:pPr>
      <w:hyperlink w:history="1" r:id="rIdxhlv21ukm4gudruytmjph">
        <w:r>
          <w:rPr>
            <w:rFonts w:ascii="Arial" w:cs="Arial" w:eastAsia="Arial" w:hAnsi="Arial"/>
            <w:color w:val="1D4ED8"/>
            <w:sz w:val="20"/>
            <w:szCs w:val="20"/>
            <w:u w:val="single"/>
          </w:rPr>
          <w:t xml:space="preserve">19 июля 2012 года № 511</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N │            Наименование параметра            │Величина параметра│</w:t>
      </w:r>
    </w:p>
    <w:p>
      <w:pPr>
        <w:spacing w:after="120"/>
        <w:jc w:val="both"/>
      </w:pPr>
      <w:r>
        <w:rPr>
          <w:rFonts w:ascii="Arial" w:cs="Arial" w:eastAsia="Arial" w:hAnsi="Arial"/>
          <w:sz w:val="20"/>
          <w:szCs w:val="20"/>
        </w:rPr>
        <w:t xml:space="preserve">│п/п│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1. Общие требования к грузоприемному устройству (платформы)     │</w:t>
      </w:r>
    </w:p>
    <w:p>
      <w:pPr>
        <w:spacing w:after="120"/>
        <w:jc w:val="both"/>
      </w:pPr>
      <w:r>
        <w:rPr>
          <w:rFonts w:ascii="Arial" w:cs="Arial" w:eastAsia="Arial" w:hAnsi="Arial"/>
          <w:sz w:val="20"/>
          <w:szCs w:val="20"/>
        </w:rPr>
        <w:t xml:space="preserve">│          динамического (поосевого) взвешивания в движении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│Тип весов                                     │Платформенные,    │</w:t>
      </w:r>
    </w:p>
    <w:p>
      <w:pPr>
        <w:spacing w:after="120"/>
        <w:jc w:val="both"/>
      </w:pPr>
      <w:r>
        <w:rPr>
          <w:rFonts w:ascii="Arial" w:cs="Arial" w:eastAsia="Arial" w:hAnsi="Arial"/>
          <w:sz w:val="20"/>
          <w:szCs w:val="20"/>
        </w:rPr>
        <w:t xml:space="preserve">│   │                                              │электронные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│Система взвешивания и преобразования          │Цифровая          │</w:t>
      </w:r>
    </w:p>
    <w:p>
      <w:pPr>
        <w:spacing w:after="120"/>
        <w:jc w:val="both"/>
      </w:pPr>
      <w:r>
        <w:rPr>
          <w:rFonts w:ascii="Arial" w:cs="Arial" w:eastAsia="Arial" w:hAnsi="Arial"/>
          <w:sz w:val="20"/>
          <w:szCs w:val="20"/>
        </w:rPr>
        <w:t xml:space="preserve">│   │информации                                    │многоканальная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│Возможность взвешивания при реверсивном       │Обязательно       │</w:t>
      </w:r>
    </w:p>
    <w:p>
      <w:pPr>
        <w:spacing w:after="120"/>
        <w:jc w:val="both"/>
      </w:pPr>
      <w:r>
        <w:rPr>
          <w:rFonts w:ascii="Arial" w:cs="Arial" w:eastAsia="Arial" w:hAnsi="Arial"/>
          <w:sz w:val="20"/>
          <w:szCs w:val="20"/>
        </w:rPr>
        <w:t xml:space="preserve">│   │движении автотранспорта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  │Автоматически определять полную массу         │Обязательно       │</w:t>
      </w:r>
    </w:p>
    <w:p>
      <w:pPr>
        <w:spacing w:after="120"/>
        <w:jc w:val="both"/>
      </w:pPr>
      <w:r>
        <w:rPr>
          <w:rFonts w:ascii="Arial" w:cs="Arial" w:eastAsia="Arial" w:hAnsi="Arial"/>
          <w:sz w:val="20"/>
          <w:szCs w:val="20"/>
        </w:rPr>
        <w:t xml:space="preserve">│   │автопоездов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│5  │Обеспечить независимость показаний от скорости│Обязательно       │</w:t>
      </w:r>
    </w:p>
    <w:p>
      <w:pPr>
        <w:spacing w:after="120"/>
        <w:jc w:val="both"/>
      </w:pPr>
      <w:r>
        <w:rPr>
          <w:rFonts w:ascii="Arial" w:cs="Arial" w:eastAsia="Arial" w:hAnsi="Arial"/>
          <w:sz w:val="20"/>
          <w:szCs w:val="20"/>
        </w:rPr>
        <w:t xml:space="preserve">│   │движения автомобиля по грузоприемной платформе│                  │</w:t>
      </w:r>
    </w:p>
    <w:p>
      <w:pPr>
        <w:spacing w:after="120"/>
        <w:jc w:val="both"/>
      </w:pPr>
      <w:r>
        <w:rPr>
          <w:rFonts w:ascii="Arial" w:cs="Arial" w:eastAsia="Arial" w:hAnsi="Arial"/>
          <w:sz w:val="20"/>
          <w:szCs w:val="20"/>
        </w:rPr>
        <w:t xml:space="preserve">│   │в диапазоне скоростей от 3 км/час до 10       │                  │</w:t>
      </w:r>
    </w:p>
    <w:p>
      <w:pPr>
        <w:spacing w:after="120"/>
        <w:jc w:val="both"/>
      </w:pPr>
      <w:r>
        <w:rPr>
          <w:rFonts w:ascii="Arial" w:cs="Arial" w:eastAsia="Arial" w:hAnsi="Arial"/>
          <w:sz w:val="20"/>
          <w:szCs w:val="20"/>
        </w:rPr>
        <w:t xml:space="preserve">│   │км/час. Относительная погрешность измерений   │                  │</w:t>
      </w:r>
    </w:p>
    <w:p>
      <w:pPr>
        <w:spacing w:after="120"/>
        <w:jc w:val="both"/>
      </w:pPr>
      <w:r>
        <w:rPr>
          <w:rFonts w:ascii="Arial" w:cs="Arial" w:eastAsia="Arial" w:hAnsi="Arial"/>
          <w:sz w:val="20"/>
          <w:szCs w:val="20"/>
        </w:rPr>
        <w:t xml:space="preserve">│   │не должна превышать +/- 2%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│Обеспечить и допускать непрерывную работу в   │24 часов          │</w:t>
      </w:r>
    </w:p>
    <w:p>
      <w:pPr>
        <w:spacing w:after="120"/>
        <w:jc w:val="both"/>
      </w:pPr>
      <w:r>
        <w:rPr>
          <w:rFonts w:ascii="Arial" w:cs="Arial" w:eastAsia="Arial" w:hAnsi="Arial"/>
          <w:sz w:val="20"/>
          <w:szCs w:val="20"/>
        </w:rPr>
        <w:t xml:space="preserve">│   │рабочих условиях в течение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│7  │Число грузоприемных платформ в составе        │1 шт.             │</w:t>
      </w:r>
    </w:p>
    <w:p>
      <w:pPr>
        <w:spacing w:after="120"/>
        <w:jc w:val="both"/>
      </w:pPr>
      <w:r>
        <w:rPr>
          <w:rFonts w:ascii="Arial" w:cs="Arial" w:eastAsia="Arial" w:hAnsi="Arial"/>
          <w:sz w:val="20"/>
          <w:szCs w:val="20"/>
        </w:rPr>
        <w:t xml:space="preserve">│   │грузоприемного устройства, включая платформу  │                  │</w:t>
      </w:r>
    </w:p>
    <w:p>
      <w:pPr>
        <w:spacing w:after="120"/>
        <w:jc w:val="both"/>
      </w:pPr>
      <w:r>
        <w:rPr>
          <w:rFonts w:ascii="Arial" w:cs="Arial" w:eastAsia="Arial" w:hAnsi="Arial"/>
          <w:sz w:val="20"/>
          <w:szCs w:val="20"/>
        </w:rPr>
        <w:t xml:space="preserve">│   │для динамического (поосевого) взвешивания,    │                  │</w:t>
      </w:r>
    </w:p>
    <w:p>
      <w:pPr>
        <w:spacing w:after="120"/>
        <w:jc w:val="both"/>
      </w:pPr>
      <w:r>
        <w:rPr>
          <w:rFonts w:ascii="Arial" w:cs="Arial" w:eastAsia="Arial" w:hAnsi="Arial"/>
          <w:sz w:val="20"/>
          <w:szCs w:val="20"/>
        </w:rPr>
        <w:t xml:space="preserve">│   │не менее, шт.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│8  │Ширина грузоприемного устройства в пределах,  │       3-3,2      │</w:t>
      </w:r>
    </w:p>
    <w:p>
      <w:pPr>
        <w:spacing w:after="120"/>
        <w:jc w:val="both"/>
      </w:pPr>
      <w:r>
        <w:rPr>
          <w:rFonts w:ascii="Arial" w:cs="Arial" w:eastAsia="Arial" w:hAnsi="Arial"/>
          <w:sz w:val="20"/>
          <w:szCs w:val="20"/>
        </w:rPr>
        <w:t xml:space="preserve">│   │метр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│9  │Условия     │при температуре окружающей среды │-50... +50        │</w:t>
      </w:r>
    </w:p>
    <w:p>
      <w:pPr>
        <w:spacing w:after="120"/>
        <w:jc w:val="both"/>
      </w:pPr>
      <w:r>
        <w:rPr>
          <w:rFonts w:ascii="Arial" w:cs="Arial" w:eastAsia="Arial" w:hAnsi="Arial"/>
          <w:sz w:val="20"/>
          <w:szCs w:val="20"/>
        </w:rPr>
        <w:t xml:space="preserve">│   │эксплуатации│в пределах, град. Цельсия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│относительная влажность воздуха  │&lt;=98              │</w:t>
      </w:r>
    </w:p>
    <w:p>
      <w:pPr>
        <w:spacing w:after="120"/>
        <w:jc w:val="both"/>
      </w:pPr>
      <w:r>
        <w:rPr>
          <w:rFonts w:ascii="Arial" w:cs="Arial" w:eastAsia="Arial" w:hAnsi="Arial"/>
          <w:sz w:val="20"/>
          <w:szCs w:val="20"/>
        </w:rPr>
        <w:t xml:space="preserve">│   │            │при температуре 35 град. Цельсия,│                  │</w:t>
      </w:r>
    </w:p>
    <w:p>
      <w:pPr>
        <w:spacing w:after="120"/>
        <w:jc w:val="both"/>
      </w:pPr>
      <w:r>
        <w:rPr>
          <w:rFonts w:ascii="Arial" w:cs="Arial" w:eastAsia="Arial" w:hAnsi="Arial"/>
          <w:sz w:val="20"/>
          <w:szCs w:val="20"/>
        </w:rPr>
        <w:t xml:space="preserve">│   │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│при атмосферном давлении в       │84-107 (630-800)  │</w:t>
      </w:r>
    </w:p>
    <w:p>
      <w:pPr>
        <w:spacing w:after="120"/>
        <w:jc w:val="both"/>
      </w:pPr>
      <w:r>
        <w:rPr>
          <w:rFonts w:ascii="Arial" w:cs="Arial" w:eastAsia="Arial" w:hAnsi="Arial"/>
          <w:sz w:val="20"/>
          <w:szCs w:val="20"/>
        </w:rPr>
        <w:t xml:space="preserve">│   │            │пределах, кПа (мм.рт.ст.)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2. Общие требования к весам в режиме динамического взвешивания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│10 │Весы для взвешивания транспортных средств в   │Обязательно       │</w:t>
      </w:r>
    </w:p>
    <w:p>
      <w:pPr>
        <w:spacing w:after="120"/>
        <w:jc w:val="both"/>
      </w:pPr>
      <w:r>
        <w:rPr>
          <w:rFonts w:ascii="Arial" w:cs="Arial" w:eastAsia="Arial" w:hAnsi="Arial"/>
          <w:sz w:val="20"/>
          <w:szCs w:val="20"/>
        </w:rPr>
        <w:t xml:space="preserve">│   │движении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│11 │Весы должны соответствовать рекомендациям     │Обязательно       │</w:t>
      </w:r>
    </w:p>
    <w:p>
      <w:pPr>
        <w:spacing w:after="120"/>
        <w:jc w:val="both"/>
      </w:pPr>
      <w:r>
        <w:rPr>
          <w:rFonts w:ascii="Arial" w:cs="Arial" w:eastAsia="Arial" w:hAnsi="Arial"/>
          <w:sz w:val="20"/>
          <w:szCs w:val="20"/>
        </w:rPr>
        <w:t xml:space="preserve">│   │Международной организации законодательной     │                  │</w:t>
      </w:r>
    </w:p>
    <w:p>
      <w:pPr>
        <w:spacing w:after="120"/>
        <w:jc w:val="both"/>
      </w:pPr>
      <w:r>
        <w:rPr>
          <w:rFonts w:ascii="Arial" w:cs="Arial" w:eastAsia="Arial" w:hAnsi="Arial"/>
          <w:sz w:val="20"/>
          <w:szCs w:val="20"/>
        </w:rPr>
        <w:t xml:space="preserve">│   │метрологии (МОЗМ)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│12 │Наибольший предел взвешивания одной оси, тонн │        25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│13 │Наименьший предел взвешивания одной оси, тонн │         0,5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│14 │Допустимая статическая нагрузка в течение     │        25        │</w:t>
      </w:r>
    </w:p>
    <w:p>
      <w:pPr>
        <w:spacing w:after="120"/>
        <w:jc w:val="both"/>
      </w:pPr>
      <w:r>
        <w:rPr>
          <w:rFonts w:ascii="Arial" w:cs="Arial" w:eastAsia="Arial" w:hAnsi="Arial"/>
          <w:sz w:val="20"/>
          <w:szCs w:val="20"/>
        </w:rPr>
        <w:t xml:space="preserve">│   │одного часа с сохранением метрологических     │                  │</w:t>
      </w:r>
    </w:p>
    <w:p>
      <w:pPr>
        <w:spacing w:after="120"/>
        <w:jc w:val="both"/>
      </w:pPr>
      <w:r>
        <w:rPr>
          <w:rFonts w:ascii="Arial" w:cs="Arial" w:eastAsia="Arial" w:hAnsi="Arial"/>
          <w:sz w:val="20"/>
          <w:szCs w:val="20"/>
        </w:rPr>
        <w:t xml:space="preserve">│   │характеристик, тонн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│15 │Допустимое количество осей одного автомобиля  │&lt;=8               │</w:t>
      </w:r>
    </w:p>
    <w:p>
      <w:pPr>
        <w:spacing w:after="120"/>
        <w:jc w:val="both"/>
      </w:pPr>
      <w:r>
        <w:rPr>
          <w:rFonts w:ascii="Arial" w:cs="Arial" w:eastAsia="Arial" w:hAnsi="Arial"/>
          <w:sz w:val="20"/>
          <w:szCs w:val="20"/>
        </w:rPr>
        <w:t xml:space="preserve">│   │(автопоезда)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│16 │Наличие функции автоматического слежения за   │Обязательно       │</w:t>
      </w:r>
    </w:p>
    <w:p>
      <w:pPr>
        <w:spacing w:after="120"/>
        <w:jc w:val="both"/>
      </w:pPr>
      <w:r>
        <w:rPr>
          <w:rFonts w:ascii="Arial" w:cs="Arial" w:eastAsia="Arial" w:hAnsi="Arial"/>
          <w:sz w:val="20"/>
          <w:szCs w:val="20"/>
        </w:rPr>
        <w:t xml:space="preserve">│   │нулем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│17 │Информация о перегрузе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│18 │Измерение параметров осевых нагрузок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│19 │Класс точности весов                          │         2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│20 │Дискретность отсчета и цена поверочного       │        10        │</w:t>
      </w:r>
    </w:p>
    <w:p>
      <w:pPr>
        <w:spacing w:after="120"/>
        <w:jc w:val="both"/>
      </w:pPr>
      <w:r>
        <w:rPr>
          <w:rFonts w:ascii="Arial" w:cs="Arial" w:eastAsia="Arial" w:hAnsi="Arial"/>
          <w:sz w:val="20"/>
          <w:szCs w:val="20"/>
        </w:rPr>
        <w:t xml:space="preserve">│   │деления не более, килограмм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│21 │Условия     │при температуре окружающей среды │-50... +50        │</w:t>
      </w:r>
    </w:p>
    <w:p>
      <w:pPr>
        <w:spacing w:after="120"/>
        <w:jc w:val="both"/>
      </w:pPr>
      <w:r>
        <w:rPr>
          <w:rFonts w:ascii="Arial" w:cs="Arial" w:eastAsia="Arial" w:hAnsi="Arial"/>
          <w:sz w:val="20"/>
          <w:szCs w:val="20"/>
        </w:rPr>
        <w:t xml:space="preserve">│   │эксплуатации│не хуже, град. Цельсия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│относительная влажность воздуха  │&lt;=98              │</w:t>
      </w:r>
    </w:p>
    <w:p>
      <w:pPr>
        <w:spacing w:after="120"/>
        <w:jc w:val="both"/>
      </w:pPr>
      <w:r>
        <w:rPr>
          <w:rFonts w:ascii="Arial" w:cs="Arial" w:eastAsia="Arial" w:hAnsi="Arial"/>
          <w:sz w:val="20"/>
          <w:szCs w:val="20"/>
        </w:rPr>
        <w:t xml:space="preserve">│   │            │при температуре 35 град. Цельсия,│                  │</w:t>
      </w:r>
    </w:p>
    <w:p>
      <w:pPr>
        <w:spacing w:after="120"/>
        <w:jc w:val="both"/>
      </w:pPr>
      <w:r>
        <w:rPr>
          <w:rFonts w:ascii="Arial" w:cs="Arial" w:eastAsia="Arial" w:hAnsi="Arial"/>
          <w:sz w:val="20"/>
          <w:szCs w:val="20"/>
        </w:rPr>
        <w:t xml:space="preserve">│   │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│атмосферном давлении не хуже, кПа│84-107 (630-800)  │</w:t>
      </w:r>
    </w:p>
    <w:p>
      <w:pPr>
        <w:spacing w:after="120"/>
        <w:jc w:val="both"/>
      </w:pPr>
      <w:r>
        <w:rPr>
          <w:rFonts w:ascii="Arial" w:cs="Arial" w:eastAsia="Arial" w:hAnsi="Arial"/>
          <w:sz w:val="20"/>
          <w:szCs w:val="20"/>
        </w:rPr>
        <w:t xml:space="preserve">│   │            │(мм.рт.ст.)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│22 │Возможность получения информации о нагрузке   │Обязательно       │</w:t>
      </w:r>
    </w:p>
    <w:p>
      <w:pPr>
        <w:spacing w:after="120"/>
        <w:jc w:val="both"/>
      </w:pPr>
      <w:r>
        <w:rPr>
          <w:rFonts w:ascii="Arial" w:cs="Arial" w:eastAsia="Arial" w:hAnsi="Arial"/>
          <w:sz w:val="20"/>
          <w:szCs w:val="20"/>
        </w:rPr>
        <w:t xml:space="preserve">│   │на каждую ось взвешиваемого автомобиля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│23 │Первичная и периодические поверки весов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3. Тензометрические датчики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│24 │Материал исполнения тензометрических датчиков │Нержавеющая сталь │</w:t>
      </w:r>
    </w:p>
    <w:p>
      <w:pPr>
        <w:spacing w:after="120"/>
        <w:jc w:val="both"/>
      </w:pPr>
      <w:r>
        <w:rPr>
          <w:rFonts w:ascii="Arial" w:cs="Arial" w:eastAsia="Arial" w:hAnsi="Arial"/>
          <w:sz w:val="20"/>
          <w:szCs w:val="20"/>
        </w:rPr>
        <w:t xml:space="preserve">│   │не хуже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│25 │Степень влагозащиты тензометрических датчиков │IP 68             │</w:t>
      </w:r>
    </w:p>
    <w:p>
      <w:pPr>
        <w:spacing w:after="120"/>
        <w:jc w:val="both"/>
      </w:pPr>
      <w:r>
        <w:rPr>
          <w:rFonts w:ascii="Arial" w:cs="Arial" w:eastAsia="Arial" w:hAnsi="Arial"/>
          <w:sz w:val="20"/>
          <w:szCs w:val="20"/>
        </w:rPr>
        <w:t xml:space="preserve">│   │не хуже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│26 │Встроенная грозозащита тензометрических       │Обязательно       │</w:t>
      </w:r>
    </w:p>
    <w:p>
      <w:pPr>
        <w:spacing w:after="120"/>
        <w:jc w:val="both"/>
      </w:pPr>
      <w:r>
        <w:rPr>
          <w:rFonts w:ascii="Arial" w:cs="Arial" w:eastAsia="Arial" w:hAnsi="Arial"/>
          <w:sz w:val="20"/>
          <w:szCs w:val="20"/>
        </w:rPr>
        <w:t xml:space="preserve">│   │датчиков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4. Преобразователь для режима динамического (поосевого) взвешивания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│27 │Тип корпуса                                   │Влагозащищенный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│28 │Степень защиты не хуже                        │IP 65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│29 │Интерфейс подключения к ПК                    │RS-232 или RS485  │</w:t>
      </w:r>
    </w:p>
    <w:p>
      <w:pPr>
        <w:spacing w:after="120"/>
        <w:jc w:val="both"/>
      </w:pPr>
      <w:r>
        <w:rPr>
          <w:rFonts w:ascii="Arial" w:cs="Arial" w:eastAsia="Arial" w:hAnsi="Arial"/>
          <w:sz w:val="20"/>
          <w:szCs w:val="20"/>
        </w:rPr>
        <w:t xml:space="preserve">│   │                                              │(в зависимости от │</w:t>
      </w:r>
    </w:p>
    <w:p>
      <w:pPr>
        <w:spacing w:after="120"/>
        <w:jc w:val="both"/>
      </w:pPr>
      <w:r>
        <w:rPr>
          <w:rFonts w:ascii="Arial" w:cs="Arial" w:eastAsia="Arial" w:hAnsi="Arial"/>
          <w:sz w:val="20"/>
          <w:szCs w:val="20"/>
        </w:rPr>
        <w:t xml:space="preserve">│   │                                              │расстояния        │</w:t>
      </w:r>
    </w:p>
    <w:p>
      <w:pPr>
        <w:spacing w:after="120"/>
        <w:jc w:val="both"/>
      </w:pPr>
      <w:r>
        <w:rPr>
          <w:rFonts w:ascii="Arial" w:cs="Arial" w:eastAsia="Arial" w:hAnsi="Arial"/>
          <w:sz w:val="20"/>
          <w:szCs w:val="20"/>
        </w:rPr>
        <w:t xml:space="preserve">│   │                                              │платформы и ПК)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│30 │Напряжение питания от сети переменного тока,  │       220        │</w:t>
      </w:r>
    </w:p>
    <w:p>
      <w:pPr>
        <w:spacing w:after="120"/>
        <w:jc w:val="both"/>
      </w:pPr>
      <w:r>
        <w:rPr>
          <w:rFonts w:ascii="Arial" w:cs="Arial" w:eastAsia="Arial" w:hAnsi="Arial"/>
          <w:sz w:val="20"/>
          <w:szCs w:val="20"/>
        </w:rPr>
        <w:t xml:space="preserve">│   │                              15%             │                  │</w:t>
      </w:r>
    </w:p>
    <w:p>
      <w:pPr>
        <w:spacing w:after="120"/>
        <w:jc w:val="both"/>
      </w:pPr>
      <w:r>
        <w:rPr>
          <w:rFonts w:ascii="Arial" w:cs="Arial" w:eastAsia="Arial" w:hAnsi="Arial"/>
          <w:sz w:val="20"/>
          <w:szCs w:val="20"/>
        </w:rPr>
        <w:t xml:space="preserve">│   │частотой 50 +/- 1 Гц, В + 10%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5. Дополнительные средства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│31 │Система автоматического считывания и передачи │Обязательно       │</w:t>
      </w:r>
    </w:p>
    <w:p>
      <w:pPr>
        <w:spacing w:after="120"/>
        <w:jc w:val="both"/>
      </w:pPr>
      <w:r>
        <w:rPr>
          <w:rFonts w:ascii="Arial" w:cs="Arial" w:eastAsia="Arial" w:hAnsi="Arial"/>
          <w:sz w:val="20"/>
          <w:szCs w:val="20"/>
        </w:rPr>
        <w:t xml:space="preserve">│   │информации о номерных знаках автотранспортных │                  │</w:t>
      </w:r>
    </w:p>
    <w:p>
      <w:pPr>
        <w:spacing w:after="120"/>
        <w:jc w:val="both"/>
      </w:pPr>
      <w:r>
        <w:rPr>
          <w:rFonts w:ascii="Arial" w:cs="Arial" w:eastAsia="Arial" w:hAnsi="Arial"/>
          <w:sz w:val="20"/>
          <w:szCs w:val="20"/>
        </w:rPr>
        <w:t xml:space="preserve">│   │средств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│32 │Светофоры для разрешения и запрета движения   │Обязательно       │</w:t>
      </w:r>
    </w:p>
    <w:p>
      <w:pPr>
        <w:spacing w:after="120"/>
        <w:jc w:val="both"/>
      </w:pPr>
      <w:r>
        <w:rPr>
          <w:rFonts w:ascii="Arial" w:cs="Arial" w:eastAsia="Arial" w:hAnsi="Arial"/>
          <w:sz w:val="20"/>
          <w:szCs w:val="20"/>
        </w:rPr>
        <w:t xml:space="preserve">│   │автотранспорта на весовую платформу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│33 │Монитор для системы видеонаблюдения за        │Обязательно       │</w:t>
      </w:r>
    </w:p>
    <w:p>
      <w:pPr>
        <w:spacing w:after="120"/>
        <w:jc w:val="both"/>
      </w:pPr>
      <w:r>
        <w:rPr>
          <w:rFonts w:ascii="Arial" w:cs="Arial" w:eastAsia="Arial" w:hAnsi="Arial"/>
          <w:sz w:val="20"/>
          <w:szCs w:val="20"/>
        </w:rPr>
        <w:t xml:space="preserve">│   │процессом взвешивания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│34 │Стабилизатор напряжения для всей системы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│35 │UPS 600 V/А для ПК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│36 │Лазерный принтер для распечатывания актов     │Обязательно       │</w:t>
      </w:r>
    </w:p>
    <w:p>
      <w:pPr>
        <w:spacing w:after="120"/>
        <w:jc w:val="both"/>
      </w:pPr>
      <w:r>
        <w:rPr>
          <w:rFonts w:ascii="Arial" w:cs="Arial" w:eastAsia="Arial" w:hAnsi="Arial"/>
          <w:sz w:val="20"/>
          <w:szCs w:val="20"/>
        </w:rPr>
        <w:t xml:space="preserve">│   │взвешивания автотранспорта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│37 │Рупор с громкоговорителем и микрофоном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│38 │Автоматические шлагбаумы с интерфейсом на ПК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│39 │Цветной световой маяк для установки на        │Обязательно       │</w:t>
      </w:r>
    </w:p>
    <w:p>
      <w:pPr>
        <w:spacing w:after="120"/>
        <w:jc w:val="both"/>
      </w:pPr>
      <w:r>
        <w:rPr>
          <w:rFonts w:ascii="Arial" w:cs="Arial" w:eastAsia="Arial" w:hAnsi="Arial"/>
          <w:sz w:val="20"/>
          <w:szCs w:val="20"/>
        </w:rPr>
        <w:t xml:space="preserve">│   │шлагбаумах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│40 │Специальные видеокамеры высокого разрешения   │Обязательно       │</w:t>
      </w:r>
    </w:p>
    <w:p>
      <w:pPr>
        <w:spacing w:after="120"/>
        <w:jc w:val="both"/>
      </w:pPr>
      <w:r>
        <w:rPr>
          <w:rFonts w:ascii="Arial" w:cs="Arial" w:eastAsia="Arial" w:hAnsi="Arial"/>
          <w:sz w:val="20"/>
          <w:szCs w:val="20"/>
        </w:rPr>
        <w:t xml:space="preserve">│   │для распознавания номерных знаков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│41 │Видеокамеры для визуального обзора за         │Обязательно       │</w:t>
      </w:r>
    </w:p>
    <w:p>
      <w:pPr>
        <w:spacing w:after="120"/>
        <w:jc w:val="both"/>
      </w:pPr>
      <w:r>
        <w:rPr>
          <w:rFonts w:ascii="Arial" w:cs="Arial" w:eastAsia="Arial" w:hAnsi="Arial"/>
          <w:sz w:val="20"/>
          <w:szCs w:val="20"/>
        </w:rPr>
        <w:t xml:space="preserve">│   │процессом взвешивания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│42 │Подъездной путь грузоприемной платформы должен│Обязательно       │</w:t>
      </w:r>
    </w:p>
    <w:p>
      <w:pPr>
        <w:spacing w:after="120"/>
        <w:jc w:val="both"/>
      </w:pPr>
      <w:r>
        <w:rPr>
          <w:rFonts w:ascii="Arial" w:cs="Arial" w:eastAsia="Arial" w:hAnsi="Arial"/>
          <w:sz w:val="20"/>
          <w:szCs w:val="20"/>
        </w:rPr>
        <w:t xml:space="preserve">│   │быть с дорожной разметкой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│43 │Отдельное операторское служебное помещение для│Обязательно       │</w:t>
      </w:r>
    </w:p>
    <w:p>
      <w:pPr>
        <w:spacing w:after="120"/>
        <w:jc w:val="both"/>
      </w:pPr>
      <w:r>
        <w:rPr>
          <w:rFonts w:ascii="Arial" w:cs="Arial" w:eastAsia="Arial" w:hAnsi="Arial"/>
          <w:sz w:val="20"/>
          <w:szCs w:val="20"/>
        </w:rPr>
        <w:t xml:space="preserve">│   │управления и визуального обзора за процессом  │                  │</w:t>
      </w:r>
    </w:p>
    <w:p>
      <w:pPr>
        <w:spacing w:after="120"/>
        <w:jc w:val="both"/>
      </w:pPr>
      <w:r>
        <w:rPr>
          <w:rFonts w:ascii="Arial" w:cs="Arial" w:eastAsia="Arial" w:hAnsi="Arial"/>
          <w:sz w:val="20"/>
          <w:szCs w:val="20"/>
        </w:rPr>
        <w:t xml:space="preserve">│   │взвешивания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│44 │Дорожные│"Стоп"                               │Обязательно       │</w:t>
      </w:r>
    </w:p>
    <w:p>
      <w:pPr>
        <w:spacing w:after="120"/>
        <w:jc w:val="both"/>
      </w:pPr>
      <w:r>
        <w:rPr>
          <w:rFonts w:ascii="Arial" w:cs="Arial" w:eastAsia="Arial" w:hAnsi="Arial"/>
          <w:sz w:val="20"/>
          <w:szCs w:val="20"/>
        </w:rPr>
        <w:t xml:space="preserve">│   │знаки   ├─────────────────────────────────────┼──────────────────┤</w:t>
      </w:r>
    </w:p>
    <w:p>
      <w:pPr>
        <w:spacing w:after="120"/>
        <w:jc w:val="both"/>
      </w:pPr>
      <w:r>
        <w:rPr>
          <w:rFonts w:ascii="Arial" w:cs="Arial" w:eastAsia="Arial" w:hAnsi="Arial"/>
          <w:sz w:val="20"/>
          <w:szCs w:val="20"/>
        </w:rPr>
        <w:t xml:space="preserve">│   │        │Скорость не более 5 км/час           │Обязательно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│"Выключить фары дальнего и ближнего  │Обязательно       │</w:t>
      </w:r>
    </w:p>
    <w:p>
      <w:pPr>
        <w:spacing w:after="120"/>
        <w:jc w:val="both"/>
      </w:pPr>
      <w:r>
        <w:rPr>
          <w:rFonts w:ascii="Arial" w:cs="Arial" w:eastAsia="Arial" w:hAnsi="Arial"/>
          <w:sz w:val="20"/>
          <w:szCs w:val="20"/>
        </w:rPr>
        <w:t xml:space="preserve">│   │        │освещения"                           │                  │</w:t>
      </w:r>
    </w:p>
    <w:p>
      <w:pPr>
        <w:spacing w:after="120"/>
        <w:jc w:val="both"/>
      </w:pPr>
      <w:r>
        <w:rPr>
          <w:rFonts w:ascii="Arial" w:cs="Arial" w:eastAsia="Arial" w:hAnsi="Arial"/>
          <w:sz w:val="20"/>
          <w:szCs w:val="20"/>
        </w:rPr>
        <w:t xml:space="preserve">└───┴────────┴─────────────────────────────────────┴──────────────────┘</w:t>
      </w:r>
    </w:p>
    <w:p>
      <w:pPr>
        <w:spacing w:after="120"/>
        <w:ind w:firstLine="708"/>
        <w:jc w:val="both"/>
      </w:pPr>
      <w:r>
        <w:rPr>
          <w:rFonts w:ascii="Arial" w:cs="Arial" w:eastAsia="Arial" w:hAnsi="Arial"/>
          <w:sz w:val="20"/>
          <w:szCs w:val="20"/>
        </w:rPr>
        <w:t xml:space="preserve">Приложение 2</w:t>
      </w:r>
    </w:p>
    <w:p>
      <w:pPr>
        <w:spacing w:after="120"/>
        <w:jc w:val="both"/>
      </w:pPr>
      <w:r>
        <w:rPr>
          <w:rFonts w:ascii="Arial" w:cs="Arial" w:eastAsia="Arial" w:hAnsi="Arial"/>
          <w:sz w:val="20"/>
          <w:szCs w:val="20"/>
        </w:rPr>
        <w:t xml:space="preserve">(В редакции постановления Правительства КР от</w:t>
      </w:r>
    </w:p>
    <w:p>
      <w:pPr>
        <w:spacing w:after="120"/>
        <w:ind w:firstLine="708"/>
        <w:jc w:val="both"/>
      </w:pPr>
      <w:hyperlink w:history="1" r:id="rIdwa_yyf90v7mhta8byvcgn">
        <w:r>
          <w:rPr>
            <w:rFonts w:ascii="Arial" w:cs="Arial" w:eastAsia="Arial" w:hAnsi="Arial"/>
            <w:color w:val="1D4ED8"/>
            <w:sz w:val="20"/>
            <w:szCs w:val="20"/>
            <w:u w:val="single"/>
          </w:rPr>
          <w:t xml:space="preserve">19 июля 2012 года № 511</w:t>
        </w:r>
      </w:hyperlink>
      <w:r>
        <w:rPr>
          <w:rFonts w:ascii="Arial" w:cs="Arial" w:eastAsia="Arial" w:hAnsi="Arial"/>
          <w:sz w:val="20"/>
          <w:szCs w:val="20"/>
        </w:rPr>
        <w:t xml:space="preserve">)</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N │            1. Наименование параметра         │Величина параметра│</w:t>
      </w:r>
    </w:p>
    <w:p>
      <w:pPr>
        <w:spacing w:after="120"/>
        <w:jc w:val="both"/>
      </w:pPr>
      <w:r>
        <w:rPr>
          <w:rFonts w:ascii="Arial" w:cs="Arial" w:eastAsia="Arial" w:hAnsi="Arial"/>
          <w:sz w:val="20"/>
          <w:szCs w:val="20"/>
        </w:rPr>
        <w:t xml:space="preserve">│п/п│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│Язык программного обеспечения                 │Русский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│Разграничение прав доступа к изменению данных │Администратор/    │</w:t>
      </w:r>
    </w:p>
    <w:p>
      <w:pPr>
        <w:spacing w:after="120"/>
        <w:jc w:val="both"/>
      </w:pPr>
      <w:r>
        <w:rPr>
          <w:rFonts w:ascii="Arial" w:cs="Arial" w:eastAsia="Arial" w:hAnsi="Arial"/>
          <w:sz w:val="20"/>
          <w:szCs w:val="20"/>
        </w:rPr>
        <w:t xml:space="preserve">│   │                                              │оператор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│Наличие функции диагностики каждого канала    │Обязательно       │</w:t>
      </w:r>
    </w:p>
    <w:p>
      <w:pPr>
        <w:spacing w:after="120"/>
        <w:jc w:val="both"/>
      </w:pPr>
      <w:r>
        <w:rPr>
          <w:rFonts w:ascii="Arial" w:cs="Arial" w:eastAsia="Arial" w:hAnsi="Arial"/>
          <w:sz w:val="20"/>
          <w:szCs w:val="20"/>
        </w:rPr>
        <w:t xml:space="preserve">│   │связи (тензометрического датчика)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  │Наличие функции дублирования показаний при    │Обязательно       │</w:t>
      </w:r>
    </w:p>
    <w:p>
      <w:pPr>
        <w:spacing w:after="120"/>
        <w:jc w:val="both"/>
      </w:pPr>
      <w:r>
        <w:rPr>
          <w:rFonts w:ascii="Arial" w:cs="Arial" w:eastAsia="Arial" w:hAnsi="Arial"/>
          <w:sz w:val="20"/>
          <w:szCs w:val="20"/>
        </w:rPr>
        <w:t xml:space="preserve">│   │возникновении нештатных ситуаций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│5  │Наличие функции ручного ввода показаний при   │Обязательно       │</w:t>
      </w:r>
    </w:p>
    <w:p>
      <w:pPr>
        <w:spacing w:after="120"/>
        <w:jc w:val="both"/>
      </w:pPr>
      <w:r>
        <w:rPr>
          <w:rFonts w:ascii="Arial" w:cs="Arial" w:eastAsia="Arial" w:hAnsi="Arial"/>
          <w:sz w:val="20"/>
          <w:szCs w:val="20"/>
        </w:rPr>
        <w:t xml:space="preserve">│   │возникновении нештатных ситуаций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│Наличие функции контроля и защиты             │Обязательно       │</w:t>
      </w:r>
    </w:p>
    <w:p>
      <w:pPr>
        <w:spacing w:after="120"/>
        <w:jc w:val="both"/>
      </w:pPr>
      <w:r>
        <w:rPr>
          <w:rFonts w:ascii="Arial" w:cs="Arial" w:eastAsia="Arial" w:hAnsi="Arial"/>
          <w:sz w:val="20"/>
          <w:szCs w:val="20"/>
        </w:rPr>
        <w:t xml:space="preserve">│   │авторизированного воздействия персонала на ПО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│7  │Наличие функции генерирования отчетных данных │Обязательно       │</w:t>
      </w:r>
    </w:p>
    <w:p>
      <w:pPr>
        <w:spacing w:after="120"/>
        <w:jc w:val="both"/>
      </w:pPr>
      <w:r>
        <w:rPr>
          <w:rFonts w:ascii="Arial" w:cs="Arial" w:eastAsia="Arial" w:hAnsi="Arial"/>
          <w:sz w:val="20"/>
          <w:szCs w:val="20"/>
        </w:rPr>
        <w:t xml:space="preserve">│   │по результатам взвешиваний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│8  │Наличие функции предупреждения о превышении   │Обязательно       │</w:t>
      </w:r>
    </w:p>
    <w:p>
      <w:pPr>
        <w:spacing w:after="120"/>
        <w:jc w:val="both"/>
      </w:pPr>
      <w:r>
        <w:rPr>
          <w:rFonts w:ascii="Arial" w:cs="Arial" w:eastAsia="Arial" w:hAnsi="Arial"/>
          <w:sz w:val="20"/>
          <w:szCs w:val="20"/>
        </w:rPr>
        <w:t xml:space="preserve">│   │установленных контрольных параметров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│9  │Возможность ведения базы данных массы основных│Обязательно       │</w:t>
      </w:r>
    </w:p>
    <w:p>
      <w:pPr>
        <w:spacing w:after="120"/>
        <w:jc w:val="both"/>
      </w:pPr>
      <w:r>
        <w:rPr>
          <w:rFonts w:ascii="Arial" w:cs="Arial" w:eastAsia="Arial" w:hAnsi="Arial"/>
          <w:sz w:val="20"/>
          <w:szCs w:val="20"/>
        </w:rPr>
        <w:t xml:space="preserve">│   │мировых производителей грузового              │                  │</w:t>
      </w:r>
    </w:p>
    <w:p>
      <w:pPr>
        <w:spacing w:after="120"/>
        <w:jc w:val="both"/>
      </w:pPr>
      <w:r>
        <w:rPr>
          <w:rFonts w:ascii="Arial" w:cs="Arial" w:eastAsia="Arial" w:hAnsi="Arial"/>
          <w:sz w:val="20"/>
          <w:szCs w:val="20"/>
        </w:rPr>
        <w:t xml:space="preserve">│   │автотранспорта (СНГ и дальнего зарубежья)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│10 │Наличие функции накопления в базе данных      │Обязательно       │</w:t>
      </w:r>
    </w:p>
    <w:p>
      <w:pPr>
        <w:spacing w:after="120"/>
        <w:jc w:val="both"/>
      </w:pPr>
      <w:r>
        <w:rPr>
          <w:rFonts w:ascii="Arial" w:cs="Arial" w:eastAsia="Arial" w:hAnsi="Arial"/>
          <w:sz w:val="20"/>
          <w:szCs w:val="20"/>
        </w:rPr>
        <w:t xml:space="preserve">│   │результатов взвешиваний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2. Формирование отчетов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│11 │Сводный отчет по:│Отправителя                 │Обязательно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│Получателя                  │Обязательно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│Марка автотранспортного     │Обязательно       │</w:t>
      </w:r>
    </w:p>
    <w:p>
      <w:pPr>
        <w:spacing w:after="120"/>
        <w:jc w:val="both"/>
      </w:pPr>
      <w:r>
        <w:rPr>
          <w:rFonts w:ascii="Arial" w:cs="Arial" w:eastAsia="Arial" w:hAnsi="Arial"/>
          <w:sz w:val="20"/>
          <w:szCs w:val="20"/>
        </w:rPr>
        <w:t xml:space="preserve">│   │                 │средства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│Номера автотранспортного    │Обязательно       │</w:t>
      </w:r>
    </w:p>
    <w:p>
      <w:pPr>
        <w:spacing w:after="120"/>
        <w:jc w:val="both"/>
      </w:pPr>
      <w:r>
        <w:rPr>
          <w:rFonts w:ascii="Arial" w:cs="Arial" w:eastAsia="Arial" w:hAnsi="Arial"/>
          <w:sz w:val="20"/>
          <w:szCs w:val="20"/>
        </w:rPr>
        <w:t xml:space="preserve">│   │                 │средства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│Скорость прохождения        │Обязательно       │</w:t>
      </w:r>
    </w:p>
    <w:p>
      <w:pPr>
        <w:spacing w:after="120"/>
        <w:jc w:val="both"/>
      </w:pPr>
      <w:r>
        <w:rPr>
          <w:rFonts w:ascii="Arial" w:cs="Arial" w:eastAsia="Arial" w:hAnsi="Arial"/>
          <w:sz w:val="20"/>
          <w:szCs w:val="20"/>
        </w:rPr>
        <w:t xml:space="preserve">│   │                 │автотранспорта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│Номер прицепа/прицепов      │Обязательно       │</w:t>
      </w:r>
    </w:p>
    <w:p>
      <w:pPr>
        <w:spacing w:after="120"/>
        <w:jc w:val="both"/>
      </w:pPr>
      <w:r>
        <w:rPr>
          <w:rFonts w:ascii="Arial" w:cs="Arial" w:eastAsia="Arial" w:hAnsi="Arial"/>
          <w:sz w:val="20"/>
          <w:szCs w:val="20"/>
        </w:rPr>
        <w:t xml:space="preserve">│   │                 │автотранспортного средства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│Дата взвешивания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│12 │Отчет о действиях│                  Обязательно                  │</w:t>
      </w:r>
    </w:p>
    <w:p>
      <w:pPr>
        <w:spacing w:after="120"/>
        <w:jc w:val="both"/>
      </w:pPr>
      <w:r>
        <w:rPr>
          <w:rFonts w:ascii="Arial" w:cs="Arial" w:eastAsia="Arial" w:hAnsi="Arial"/>
          <w:sz w:val="20"/>
          <w:szCs w:val="20"/>
        </w:rPr>
        <w:t xml:space="preserve">│   │оператора в ПО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nuzqf2rj1inkjvhaxdd">
      <w:r>
        <w:rPr>
          <w:rFonts w:ascii="Arial" w:cs="Arial" w:eastAsia="Arial" w:hAnsi="Arial"/>
          <w:color w:val="132D3F"/>
          <w:sz w:val="16"/>
          <w:szCs w:val="16"/>
          <w:u w:val="single"/>
        </w:rPr>
        <w:t xml:space="preserve">dalil.kg/document/58768</w:t>
      </w:r>
    </w:hyperlink>
  </w:p>
  <w:p>
    <w:pPr>
      <w:spacing w:after="0" w:before="40"/>
      <w:jc w:val="center"/>
    </w:pPr>
    <w:hyperlink w:history="1" r:id="rId1htx-demcwzty2fg0lw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qm2c5knxupxtvdkjsic" Type="http://schemas.openxmlformats.org/officeDocument/2006/relationships/hyperlink" Target="https://dalil.kg/document/95496" TargetMode="External"/><Relationship Id="rIdxhlv21ukm4gudruytmjph" Type="http://schemas.openxmlformats.org/officeDocument/2006/relationships/hyperlink" Target="https://dalil.kg/document/95496" TargetMode="External"/><Relationship Id="rIdwa_yyf90v7mhta8byvcgn" Type="http://schemas.openxmlformats.org/officeDocument/2006/relationships/hyperlink" Target="https://dalil.kg/document/954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nuzqf2rj1inkjvhaxdd" Type="http://schemas.openxmlformats.org/officeDocument/2006/relationships/hyperlink" Target="https://dalil.kg/document/58768" TargetMode="External"/><Relationship Id="rId1htx-demcwzty2fg0lw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2026-10-03T14:58:46.189Z</dcterms:created>
  <dcterms:modified xsi:type="dcterms:W3CDTF">2026-10-03T14:58:46.189Z</dcterms:modified>
</cp:coreProperties>
</file>

<file path=docProps/custom.xml><?xml version="1.0" encoding="utf-8"?>
<Properties xmlns="http://schemas.openxmlformats.org/officeDocument/2006/custom-properties" xmlns:vt="http://schemas.openxmlformats.org/officeDocument/2006/docPropsVTypes"/>
</file>