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3wdqn3goxqd94kkbripm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ноября 2009 года № 699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апреля 2008 года № 164</w:t>
      </w:r>
    </w:p>
    <w:p>
      <w:pPr>
        <w:spacing w:after="120"/>
        <w:jc w:val="both"/>
      </w:pPr>
      <w:r>
        <w:rPr>
          <w:rFonts w:ascii="Arial" w:cs="Arial" w:eastAsia="Arial" w:hAnsi="Arial"/>
          <w:sz w:val="24"/>
          <w:szCs w:val="24"/>
        </w:rPr>
        <w:t xml:space="preserve">О Среднесрочной тарифной политике Кыргызской Республики на электрическую энергию на период 2008-2012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yos8_deqnp11ieoqkwxn">
        <w:r>
          <w:rPr>
            <w:rFonts w:ascii="Arial" w:cs="Arial" w:eastAsia="Arial" w:hAnsi="Arial"/>
            <w:color w:val="1D4ED8"/>
            <w:sz w:val="24"/>
            <w:szCs w:val="24"/>
            <w:u w:val="single"/>
          </w:rPr>
          <w:t xml:space="preserve">16 февраля 2009 года №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электроэнергетической отрасли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прилагаемую Среднесрочную тарифную политику Кыргызской Республики на электрическую энергию на период 2008-2012 годы.</w:t>
      </w:r>
    </w:p>
    <w:p>
      <w:pPr>
        <w:spacing w:after="120"/>
        <w:jc w:val="both"/>
      </w:pPr>
      <w:r>
        <w:rPr>
          <w:rFonts w:ascii="Arial" w:cs="Arial" w:eastAsia="Arial" w:hAnsi="Arial"/>
          <w:sz w:val="24"/>
          <w:szCs w:val="24"/>
        </w:rPr>
        <w:t xml:space="preserve">2. Министерству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совместно с областными государственными администрациями и мэриями городов Бишкек и Ош провести комплексные мероприятия по разъяснению настоящего постановления;</w:t>
      </w:r>
    </w:p>
    <w:p>
      <w:pPr>
        <w:spacing w:after="120"/>
        <w:jc w:val="both"/>
      </w:pPr>
      <w:r>
        <w:rPr>
          <w:rFonts w:ascii="Arial" w:cs="Arial" w:eastAsia="Arial" w:hAnsi="Arial"/>
          <w:sz w:val="24"/>
          <w:szCs w:val="24"/>
        </w:rPr>
        <w:t xml:space="preserve">- ежегодно, до 15 февраля, представлять в Правительство Кыргызской Республики отчет о выполнении настоящего постановления за прошедший период и при необходимости вносить предложения по корректировке тарифов.</w:t>
      </w:r>
    </w:p>
    <w:p>
      <w:pPr>
        <w:spacing w:after="120"/>
        <w:jc w:val="both"/>
      </w:pPr>
      <w:r>
        <w:rPr>
          <w:rFonts w:ascii="Arial" w:cs="Arial" w:eastAsia="Arial" w:hAnsi="Arial"/>
          <w:sz w:val="24"/>
          <w:szCs w:val="24"/>
        </w:rPr>
        <w:t xml:space="preserve">3. Министерству труда и социального развития Кыргызской Республики совместно с Министерством финансов Кыргызской Республики и Социальным фондом Кыргызской Республики в установленном порядке реализовать механизм адресной социальной защиты малообеспеченных слоев населения в условиях повышения тарифов на электрическую энергию.</w:t>
      </w:r>
    </w:p>
    <w:p>
      <w:pPr>
        <w:spacing w:after="120"/>
        <w:jc w:val="both"/>
      </w:pPr>
      <w:r>
        <w:rPr>
          <w:rFonts w:ascii="Arial" w:cs="Arial" w:eastAsia="Arial" w:hAnsi="Arial"/>
          <w:sz w:val="24"/>
          <w:szCs w:val="24"/>
        </w:rPr>
        <w:t xml:space="preserve">4. Министерству финансов Кыргызской Республики в установленном порядке внести изменения в Закон Кыргызской Республики "О республиканском бюджете Кыргызской Республики на 2008 год" в связи с изменением тарифов на электрическую энергию.</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от 13 мая 2003 года № 279 "О Среднесрочной тарифной политике на электрическую и тепловую энергию на 2003-2006 годы".</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Министерство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adgeul6ocyqimwfthw79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ТАРИФНАЯ ПОЛИТИКА 
 Кыргызской Республики на электрическую энергию на 2008-2012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wwgnes6eqdaqql1sgyfz">
        <w:r>
          <w:rPr>
            <w:rFonts w:ascii="Arial" w:cs="Arial" w:eastAsia="Arial" w:hAnsi="Arial"/>
            <w:color w:val="1D4ED8"/>
            <w:sz w:val="24"/>
            <w:szCs w:val="24"/>
            <w:u w:val="single"/>
          </w:rPr>
          <w:t xml:space="preserve">16 февраля 2009 года №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Общие принципы</w:t>
      </w:r>
    </w:p>
    <w:p>
      <w:pPr>
        <w:spacing w:after="120"/>
        <w:jc w:val="both"/>
      </w:pPr>
      <w:r>
        <w:rPr>
          <w:rFonts w:ascii="Arial" w:cs="Arial" w:eastAsia="Arial" w:hAnsi="Arial"/>
          <w:sz w:val="24"/>
          <w:szCs w:val="24"/>
        </w:rPr>
        <w:t xml:space="preserve">III. Дальнейшее направление развития тарифной политики</w:t>
      </w:r>
    </w:p>
    <w:p>
      <w:pPr>
        <w:spacing w:after="120"/>
        <w:jc w:val="both"/>
      </w:pPr>
      <w:r>
        <w:rPr>
          <w:rFonts w:ascii="Arial" w:cs="Arial" w:eastAsia="Arial" w:hAnsi="Arial"/>
          <w:sz w:val="24"/>
          <w:szCs w:val="24"/>
        </w:rPr>
        <w:t xml:space="preserve">IV. Процедуры установления тарифов</w:t>
      </w:r>
    </w:p>
    <w:p>
      <w:pPr>
        <w:spacing w:after="120"/>
        <w:jc w:val="both"/>
      </w:pPr>
      <w:r>
        <w:rPr>
          <w:rFonts w:ascii="Arial" w:cs="Arial" w:eastAsia="Arial" w:hAnsi="Arial"/>
          <w:sz w:val="24"/>
          <w:szCs w:val="24"/>
        </w:rPr>
        <w:t xml:space="preserve">V. Обязательства по дальнейшей работе</w:t>
      </w:r>
    </w:p>
    <w:p>
      <w:pPr>
        <w:spacing w:after="120"/>
        <w:jc w:val="both"/>
      </w:pPr>
      <w:r>
        <w:rPr>
          <w:rFonts w:ascii="Arial" w:cs="Arial" w:eastAsia="Arial" w:hAnsi="Arial"/>
          <w:sz w:val="24"/>
          <w:szCs w:val="24"/>
        </w:rPr>
        <w:t xml:space="preserve">VI. Квазифискальный дефицит (КФД) в электроэнергетике</w:t>
      </w:r>
    </w:p>
    <w:p>
      <w:pPr>
        <w:spacing w:after="120"/>
        <w:jc w:val="both"/>
      </w:pPr>
      <w:r>
        <w:rPr>
          <w:rFonts w:ascii="Arial" w:cs="Arial" w:eastAsia="Arial" w:hAnsi="Arial"/>
          <w:sz w:val="24"/>
          <w:szCs w:val="24"/>
        </w:rPr>
        <w:t xml:space="preserve">VII. Заключение</w:t>
      </w:r>
    </w:p>
    <w:p>
      <w:pPr>
        <w:spacing w:after="120"/>
        <w:jc w:val="both"/>
      </w:pPr>
      <w:hyperlink w:history="1" r:id="rIdnpievcknvrotjwshnki2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Темпы повышения тарифов на электроэнергию для конечных потребителей и результирующая величина тарифов</w:t>
      </w:r>
    </w:p>
    <w:p>
      <w:pPr>
        <w:spacing w:after="120"/>
        <w:jc w:val="both"/>
      </w:pPr>
      <w:hyperlink w:history="1" r:id="rIdgc0w5ez-xrfeubrwoqyf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Методология расчета квазифискального дефицита в электроэнергетическом секторе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Среднесрочная тарифная политика Кыргызской Республики на электрическую энергию на 2008-2012 годы, (далее - тарифная политика) разработана в соответствии с Законами Кыргызской Республики "Об энергетике" и "Об электроэнергетике".</w:t>
      </w:r>
    </w:p>
    <w:p>
      <w:pPr>
        <w:spacing w:after="120"/>
        <w:jc w:val="both"/>
      </w:pPr>
      <w:r>
        <w:rPr>
          <w:rFonts w:ascii="Arial" w:cs="Arial" w:eastAsia="Arial" w:hAnsi="Arial"/>
          <w:sz w:val="24"/>
          <w:szCs w:val="24"/>
        </w:rPr>
        <w:t xml:space="preserve">Данная тарифная политика отражает основные принципы и подходы, которыми Министерство промышленности, энергетики и топливных ресурсов Кыргызской Республики будет руководствоваться при проведении государственной тарифной политики в сфере электроэнергетики.</w:t>
      </w:r>
    </w:p>
    <w:p>
      <w:pPr>
        <w:spacing w:after="120"/>
        <w:jc w:val="both"/>
      </w:pPr>
      <w:r>
        <w:rPr>
          <w:rFonts w:ascii="Arial" w:cs="Arial" w:eastAsia="Arial" w:hAnsi="Arial"/>
          <w:sz w:val="24"/>
          <w:szCs w:val="24"/>
        </w:rPr>
        <w:t xml:space="preserve">Главными целями настоящей тарифной политики являются введение принципов самоокупаемости энергетического сектора, поэтапное устранение перекрестных субсидий в области тарифообразования, а также ежегодное улучшение основных показателей деятельности энергетического сектора.</w:t>
      </w:r>
    </w:p>
    <w:p>
      <w:pPr>
        <w:spacing w:after="120"/>
        <w:jc w:val="both"/>
      </w:pPr>
      <w:r>
        <w:rPr>
          <w:rFonts w:ascii="Arial" w:cs="Arial" w:eastAsia="Arial" w:hAnsi="Arial"/>
          <w:sz w:val="24"/>
          <w:szCs w:val="24"/>
        </w:rPr>
        <w:t xml:space="preserve">Основополагающей идеей настоящей тарифной политики является создание привлекательной инвестиционной среды в энергетической отрасли экономики. Для этих целей в структуре тарифа на электроэнергию предполагается предусматривать элемент прибыли на возврат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тарифная политика основывается на следующих базовых принципах:</w:t>
      </w:r>
    </w:p>
    <w:p>
      <w:pPr>
        <w:spacing w:after="120"/>
        <w:jc w:val="both"/>
      </w:pPr>
      <w:r>
        <w:rPr>
          <w:rFonts w:ascii="Arial" w:cs="Arial" w:eastAsia="Arial" w:hAnsi="Arial"/>
          <w:sz w:val="24"/>
          <w:szCs w:val="24"/>
        </w:rPr>
        <w:t xml:space="preserve">1. Тарифы должны покрывать все затраты энергокомпаний по производству, передаче, распределению и сбыту электрической энергии.</w:t>
      </w:r>
    </w:p>
    <w:p>
      <w:pPr>
        <w:spacing w:after="120"/>
        <w:jc w:val="both"/>
      </w:pPr>
      <w:r>
        <w:rPr>
          <w:rFonts w:ascii="Arial" w:cs="Arial" w:eastAsia="Arial" w:hAnsi="Arial"/>
          <w:sz w:val="24"/>
          <w:szCs w:val="24"/>
        </w:rPr>
        <w:t xml:space="preserve">2. Тарифы для каждой группы потребителей в перспективе должны отражать все затраты на электроснабжение данной категории потребителей.</w:t>
      </w:r>
    </w:p>
    <w:p>
      <w:pPr>
        <w:spacing w:after="120"/>
        <w:jc w:val="both"/>
      </w:pPr>
      <w:r>
        <w:rPr>
          <w:rFonts w:ascii="Arial" w:cs="Arial" w:eastAsia="Arial" w:hAnsi="Arial"/>
          <w:sz w:val="24"/>
          <w:szCs w:val="24"/>
        </w:rPr>
        <w:t xml:space="preserve">3. Все субсидии должны быть направлены непосредственно (адресно) потребителям электроэнергии (населению) с низким уровнем дохода через правительственные программы социальной защиты.</w:t>
      </w:r>
    </w:p>
    <w:p>
      <w:pPr>
        <w:spacing w:after="120"/>
        <w:jc w:val="both"/>
      </w:pPr>
      <w:r>
        <w:rPr>
          <w:rFonts w:ascii="Arial" w:cs="Arial" w:eastAsia="Arial" w:hAnsi="Arial"/>
          <w:sz w:val="24"/>
          <w:szCs w:val="24"/>
        </w:rPr>
        <w:t xml:space="preserve">Затраты по производству, передаче, распределению и реализации электрической энергии должны включать в себя:</w:t>
      </w:r>
    </w:p>
    <w:p>
      <w:pPr>
        <w:spacing w:after="120"/>
        <w:jc w:val="both"/>
      </w:pPr>
      <w:r>
        <w:rPr>
          <w:rFonts w:ascii="Arial" w:cs="Arial" w:eastAsia="Arial" w:hAnsi="Arial"/>
          <w:sz w:val="24"/>
          <w:szCs w:val="24"/>
        </w:rPr>
        <w:t xml:space="preserve">- эксплуатационные затраты;</w:t>
      </w:r>
    </w:p>
    <w:p>
      <w:pPr>
        <w:spacing w:after="120"/>
        <w:jc w:val="both"/>
      </w:pPr>
      <w:r>
        <w:rPr>
          <w:rFonts w:ascii="Arial" w:cs="Arial" w:eastAsia="Arial" w:hAnsi="Arial"/>
          <w:sz w:val="24"/>
          <w:szCs w:val="24"/>
        </w:rPr>
        <w:t xml:space="preserve">- затраты на техническое обслуживание;</w:t>
      </w:r>
    </w:p>
    <w:p>
      <w:pPr>
        <w:spacing w:after="120"/>
        <w:jc w:val="both"/>
      </w:pPr>
      <w:r>
        <w:rPr>
          <w:rFonts w:ascii="Arial" w:cs="Arial" w:eastAsia="Arial" w:hAnsi="Arial"/>
          <w:sz w:val="24"/>
          <w:szCs w:val="24"/>
        </w:rPr>
        <w:t xml:space="preserve">- нормативные потери электрической энергии;</w:t>
      </w:r>
    </w:p>
    <w:p>
      <w:pPr>
        <w:spacing w:after="120"/>
        <w:jc w:val="both"/>
      </w:pPr>
      <w:r>
        <w:rPr>
          <w:rFonts w:ascii="Arial" w:cs="Arial" w:eastAsia="Arial" w:hAnsi="Arial"/>
          <w:sz w:val="24"/>
          <w:szCs w:val="24"/>
        </w:rPr>
        <w:t xml:space="preserve">- затраты на реализацию;</w:t>
      </w:r>
    </w:p>
    <w:p>
      <w:pPr>
        <w:spacing w:after="120"/>
        <w:jc w:val="both"/>
      </w:pPr>
      <w:r>
        <w:rPr>
          <w:rFonts w:ascii="Arial" w:cs="Arial" w:eastAsia="Arial" w:hAnsi="Arial"/>
          <w:sz w:val="24"/>
          <w:szCs w:val="24"/>
        </w:rPr>
        <w:t xml:space="preserve">- затраты на обслуживание долга;</w:t>
      </w:r>
    </w:p>
    <w:p>
      <w:pPr>
        <w:spacing w:after="120"/>
        <w:jc w:val="both"/>
      </w:pPr>
      <w:r>
        <w:rPr>
          <w:rFonts w:ascii="Arial" w:cs="Arial" w:eastAsia="Arial" w:hAnsi="Arial"/>
          <w:sz w:val="24"/>
          <w:szCs w:val="24"/>
        </w:rPr>
        <w:t xml:space="preserve">- затраты на капитальные вложения;</w:t>
      </w:r>
    </w:p>
    <w:p>
      <w:pPr>
        <w:spacing w:after="120"/>
        <w:jc w:val="both"/>
      </w:pPr>
      <w:r>
        <w:rPr>
          <w:rFonts w:ascii="Arial" w:cs="Arial" w:eastAsia="Arial" w:hAnsi="Arial"/>
          <w:sz w:val="24"/>
          <w:szCs w:val="24"/>
        </w:rPr>
        <w:t xml:space="preserve">- элемент прибыли.</w:t>
      </w:r>
    </w:p>
    <w:p>
      <w:pPr>
        <w:spacing w:after="120"/>
        <w:jc w:val="both"/>
      </w:pPr>
      <w:r>
        <w:rPr>
          <w:rFonts w:ascii="Arial" w:cs="Arial" w:eastAsia="Arial" w:hAnsi="Arial"/>
          <w:sz w:val="24"/>
          <w:szCs w:val="24"/>
        </w:rPr>
        <w:t xml:space="preserve">В настоящее время назрела острая необходимость срочного вложения средств на замену и реконструкцию значительной части энергетического оборудования в энергетическом секторе. Это необходимо для обеспечения безопасности и надежности энергоснабжения, приемлемого уровня обслуживания в настоящее время и развития системы электроснабжения в будущем. Включение в тариф элемента прибыли будет поощрять вложение компаниями инвестиций, необходимых для снижения затрат и улучшения уровня обслуживания потребителей.</w:t>
      </w:r>
    </w:p>
    <w:p>
      <w:pPr>
        <w:spacing w:after="120"/>
        <w:jc w:val="both"/>
      </w:pPr>
      <w:r>
        <w:rPr>
          <w:rFonts w:ascii="Arial" w:cs="Arial" w:eastAsia="Arial" w:hAnsi="Arial"/>
          <w:sz w:val="24"/>
          <w:szCs w:val="24"/>
        </w:rPr>
        <w:t xml:space="preserve">В настоящее время фактические затраты энергокомпаний значительно ниже реально необходимых затрат для обслуживания и эксплуатации оборудования. По текущим оценкам международных экспертов, основанным на необходимом уровне инвестиций, для обеспечения приемлемого уровня качества и стабильности работы энергосистемы, покрывающий затраты тариф в 2007 году должен был быть равен 1,08 сом/кВт.ч, что составляет эквивалент 2,84 цента/кВт.ч (по курсу 38 сом/доллар США). Данный уровень ТПЗ необходимо ежегодно корректировать на величину фактической инфляции сома. При планировании крупных инвестиций в производство, передачу и распределение электроэнергии, уровень ТПЗ также будет необходимо пересматривать с целью обеспечения возврата вложенных инвестором средств.</w:t>
      </w:r>
    </w:p>
    <w:p>
      <w:pPr>
        <w:spacing w:after="120"/>
        <w:jc w:val="both"/>
      </w:pPr>
      <w:r>
        <w:rPr>
          <w:rFonts w:ascii="Arial" w:cs="Arial" w:eastAsia="Arial" w:hAnsi="Arial"/>
          <w:sz w:val="24"/>
          <w:szCs w:val="24"/>
        </w:rPr>
        <w:t xml:space="preserve">Ранее, в условиях работы энергосистемы - как единого целого, более 95% инвестиций, поступавших в энергетику, были направлены в сектор производства электроэнергии и ее передачи по высоковольтным сетям. В настоящее время, в результате реорганизации энергетического сектора, снижения эффективности работы и, как следствие, хронического недофинансирования, сложилась критическая ситуация с уровнем изношенности оборудования в распределительном секторе. Так, в 2007 году, действующий тариф и показатели работы позволили обеспечить источник для финансирования инвестиций из собственных средств энергокомпаний (включая амортизационные отчисления) в сумме 958,5 млн. сомов, в том числе в секторе производства - 272,5 млн. сомов, передачи - 279,3 млн. сомов и сектора распределения - 406,7 млн. сомов. При этом, по оценкам международных консультантов, только на реконструкцию энергетического оборудования в распределительном секторе потребуется более 2160 млн. сомов в год.</w:t>
      </w:r>
    </w:p>
    <w:p>
      <w:pPr>
        <w:spacing w:after="120"/>
        <w:jc w:val="both"/>
      </w:pPr>
      <w:r>
        <w:rPr>
          <w:rFonts w:ascii="Arial" w:cs="Arial" w:eastAsia="Arial" w:hAnsi="Arial"/>
          <w:sz w:val="24"/>
          <w:szCs w:val="24"/>
        </w:rPr>
        <w:t xml:space="preserve">Тарифной политикой предусматриваются инвестиции вырабатывающей и передающей компаний для осуществления реконструкции в соответствии с данными представленными этими компаниями. При этом независимой оценки реальных потребностей в таких инвестициях не проводилось.</w:t>
      </w:r>
    </w:p>
    <w:p>
      <w:pPr>
        <w:spacing w:after="120"/>
        <w:jc w:val="both"/>
      </w:pPr>
      <w:r>
        <w:rPr>
          <w:rFonts w:ascii="Arial" w:cs="Arial" w:eastAsia="Arial" w:hAnsi="Arial"/>
          <w:sz w:val="24"/>
          <w:szCs w:val="24"/>
        </w:rPr>
        <w:t xml:space="preserve">Вместе с тем, постановлением Правительства Кыргызской Республики от 23 октября 2007 года № 502 "О завершении строительства Камбаратинской гидроэлектростанции - 2" предусмотрено выделение средств на завершение строительства Камбаратинской ГЭС-2. При этом, открытым акционерным обществом (далее - ОАО) "Электрические станции" только из средств республиканского бюджета будет выделено 3,5 млрд. сомов. Кроме того, Министерству промышленности, энергетики и топливных ресурсов Кыргызской Республики поручено при утверждении тарифов на электрическую энергию для ОАО "Электрические станции" предусмотреть по статье "Финансирование строительства Камбаратинской ГЭС-2" денежные средства в размере 1,5 млрд. сомов, в том числе в 2008 году - 0,5 млрд. сомов, в 2009 году 1,0 млрд. сомов.</w:t>
      </w:r>
    </w:p>
    <w:p>
      <w:pPr>
        <w:spacing w:after="120"/>
        <w:jc w:val="both"/>
      </w:pPr>
      <w:r>
        <w:rPr>
          <w:rFonts w:ascii="Arial" w:cs="Arial" w:eastAsia="Arial" w:hAnsi="Arial"/>
          <w:sz w:val="24"/>
          <w:szCs w:val="24"/>
        </w:rPr>
        <w:t xml:space="preserve">Учитывая, что единственным источником возврата таких инвестиций для энергокомпаний является тариф на электрическую энергию, любое вложение в развитие энергетики приводит к необходимости повышения тарифов.</w:t>
      </w:r>
    </w:p>
    <w:p>
      <w:pPr>
        <w:spacing w:after="120"/>
        <w:jc w:val="both"/>
      </w:pPr>
      <w:r>
        <w:rPr>
          <w:rFonts w:ascii="Arial" w:cs="Arial" w:eastAsia="Arial" w:hAnsi="Arial"/>
          <w:sz w:val="24"/>
          <w:szCs w:val="24"/>
        </w:rPr>
        <w:t xml:space="preserve">Тарифной политикой предусматривается, что перекрестное субсидирование между различными группами потребителей и между потребителями электрической и тепловой энергии должно постепенно устраняться. Такая тарифная политика будет способствовать:</w:t>
      </w:r>
    </w:p>
    <w:p>
      <w:pPr>
        <w:spacing w:after="120"/>
        <w:jc w:val="both"/>
      </w:pPr>
      <w:r>
        <w:rPr>
          <w:rFonts w:ascii="Arial" w:cs="Arial" w:eastAsia="Arial" w:hAnsi="Arial"/>
          <w:sz w:val="24"/>
          <w:szCs w:val="24"/>
        </w:rPr>
        <w:t xml:space="preserve">- более эффективному использованию электрической энергии путем предотвращения ее расточительного использования и неправильного распределения потребления по имеющимся энергетическим ресурсам;</w:t>
      </w:r>
    </w:p>
    <w:p>
      <w:pPr>
        <w:spacing w:after="120"/>
        <w:jc w:val="both"/>
      </w:pPr>
      <w:r>
        <w:rPr>
          <w:rFonts w:ascii="Arial" w:cs="Arial" w:eastAsia="Arial" w:hAnsi="Arial"/>
          <w:sz w:val="24"/>
          <w:szCs w:val="24"/>
        </w:rPr>
        <w:t xml:space="preserve">- формированию экономически оптимального уровня потребления (нагрузок) и развитию энергосбережения;</w:t>
      </w:r>
    </w:p>
    <w:p>
      <w:pPr>
        <w:spacing w:after="120"/>
        <w:jc w:val="both"/>
      </w:pPr>
      <w:r>
        <w:rPr>
          <w:rFonts w:ascii="Arial" w:cs="Arial" w:eastAsia="Arial" w:hAnsi="Arial"/>
          <w:sz w:val="24"/>
          <w:szCs w:val="24"/>
        </w:rPr>
        <w:t xml:space="preserve">- использованию электрической энергии на наиболее полезные и продуктивные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Дальнейшее направление развития тарифной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разделение потребителей на группы происходит исходя из следующих принципов:</w:t>
      </w:r>
    </w:p>
    <w:p>
      <w:pPr>
        <w:spacing w:after="120"/>
        <w:jc w:val="both"/>
      </w:pPr>
      <w:r>
        <w:rPr>
          <w:rFonts w:ascii="Arial" w:cs="Arial" w:eastAsia="Arial" w:hAnsi="Arial"/>
          <w:sz w:val="24"/>
          <w:szCs w:val="24"/>
        </w:rPr>
        <w:t xml:space="preserve">- источника их финансирования (бюджетные и не бюджетные);</w:t>
      </w:r>
    </w:p>
    <w:p>
      <w:pPr>
        <w:spacing w:after="120"/>
        <w:jc w:val="both"/>
      </w:pPr>
      <w:r>
        <w:rPr>
          <w:rFonts w:ascii="Arial" w:cs="Arial" w:eastAsia="Arial" w:hAnsi="Arial"/>
          <w:sz w:val="24"/>
          <w:szCs w:val="24"/>
        </w:rPr>
        <w:t xml:space="preserve">- целей использования электрической энергии (бытовые, промышленные, насосные станции, прочие или коммерческие).</w:t>
      </w:r>
    </w:p>
    <w:p>
      <w:pPr>
        <w:spacing w:after="120"/>
        <w:jc w:val="both"/>
      </w:pPr>
      <w:r>
        <w:rPr>
          <w:rFonts w:ascii="Arial" w:cs="Arial" w:eastAsia="Arial" w:hAnsi="Arial"/>
          <w:sz w:val="24"/>
          <w:szCs w:val="24"/>
        </w:rPr>
        <w:t xml:space="preserve">Такое разделение потребителей не связано с реальными затратами энергокомпаний по электроснабжению конкретного потребителя и приводит к искажению реальной стоимости электрической энергии для потребителя. В результате чего формируются неверные рыночные сигналы, и искажается структура топливно-энергетического баланса страны.</w:t>
      </w:r>
    </w:p>
    <w:p>
      <w:pPr>
        <w:spacing w:after="120"/>
        <w:jc w:val="both"/>
      </w:pPr>
      <w:r>
        <w:rPr>
          <w:rFonts w:ascii="Arial" w:cs="Arial" w:eastAsia="Arial" w:hAnsi="Arial"/>
          <w:sz w:val="24"/>
          <w:szCs w:val="24"/>
        </w:rPr>
        <w:t xml:space="preserve">В дальнейшем должна произойти существующая градация потребителей. Однако такой переход не может быть произведен за короткий промежуток времени, так как это вызовет резкое изменение тарифов для всех потребителей, что будет иметь неблагоприятные экономические и социальные последствия. Кроме того, для перехода на новую систему тарифообразования необходимо произвести разделение затрат энергокомпаний.</w:t>
      </w:r>
    </w:p>
    <w:p>
      <w:pPr>
        <w:spacing w:after="120"/>
        <w:jc w:val="both"/>
      </w:pPr>
      <w:r>
        <w:rPr>
          <w:rFonts w:ascii="Arial" w:cs="Arial" w:eastAsia="Arial" w:hAnsi="Arial"/>
          <w:sz w:val="24"/>
          <w:szCs w:val="24"/>
        </w:rPr>
        <w:t xml:space="preserve">Исходя из целей тарифной политики, тарифы на электрическую энергию в будущем должны будут дифференцироваться по категориям потребителей, с учетом следующих принципов:</w:t>
      </w:r>
    </w:p>
    <w:p>
      <w:pPr>
        <w:spacing w:after="120"/>
        <w:jc w:val="both"/>
      </w:pPr>
      <w:r>
        <w:rPr>
          <w:rFonts w:ascii="Arial" w:cs="Arial" w:eastAsia="Arial" w:hAnsi="Arial"/>
          <w:sz w:val="24"/>
          <w:szCs w:val="24"/>
        </w:rPr>
        <w:t xml:space="preserve">а) соответствие тарифов, устанавливаемых для различных категорий потребителей, реальным затратам регулируемых компаний по производству, передаче, распределению и сбыту электрической энергии для данной категории потребителей;</w:t>
      </w:r>
    </w:p>
    <w:p>
      <w:pPr>
        <w:spacing w:after="120"/>
        <w:jc w:val="both"/>
      </w:pPr>
      <w:r>
        <w:rPr>
          <w:rFonts w:ascii="Arial" w:cs="Arial" w:eastAsia="Arial" w:hAnsi="Arial"/>
          <w:sz w:val="24"/>
          <w:szCs w:val="24"/>
        </w:rPr>
        <w:t xml:space="preserve">б) размер тарифа должен зависеть от уровня напряжения в точке подключения потребителя к электрической сети энергоснабжающей компании, а также от режимов использования потребителем заявленной максимальной (разрешенной) электрической мощности и потребления электроэнергии.</w:t>
      </w:r>
    </w:p>
    <w:p>
      <w:pPr>
        <w:spacing w:after="120"/>
        <w:jc w:val="both"/>
      </w:pPr>
      <w:r>
        <w:rPr>
          <w:rFonts w:ascii="Arial" w:cs="Arial" w:eastAsia="Arial" w:hAnsi="Arial"/>
          <w:sz w:val="24"/>
          <w:szCs w:val="24"/>
        </w:rPr>
        <w:t xml:space="preserve">При этом, конечный тариф для всех без исключения потребителей должен состоять из следующих основных частей:</w:t>
      </w:r>
    </w:p>
    <w:p>
      <w:pPr>
        <w:spacing w:after="120"/>
        <w:jc w:val="both"/>
      </w:pPr>
      <w:r>
        <w:rPr>
          <w:rFonts w:ascii="Arial" w:cs="Arial" w:eastAsia="Arial" w:hAnsi="Arial"/>
          <w:sz w:val="24"/>
          <w:szCs w:val="24"/>
        </w:rPr>
        <w:t xml:space="preserve">- тарифа на производство электроэнергии;</w:t>
      </w:r>
    </w:p>
    <w:p>
      <w:pPr>
        <w:spacing w:after="120"/>
        <w:jc w:val="both"/>
      </w:pPr>
      <w:r>
        <w:rPr>
          <w:rFonts w:ascii="Arial" w:cs="Arial" w:eastAsia="Arial" w:hAnsi="Arial"/>
          <w:sz w:val="24"/>
          <w:szCs w:val="24"/>
        </w:rPr>
        <w:t xml:space="preserve">- тарифа на передачу электроэнергии;</w:t>
      </w:r>
    </w:p>
    <w:p>
      <w:pPr>
        <w:spacing w:after="120"/>
        <w:jc w:val="both"/>
      </w:pPr>
      <w:r>
        <w:rPr>
          <w:rFonts w:ascii="Arial" w:cs="Arial" w:eastAsia="Arial" w:hAnsi="Arial"/>
          <w:sz w:val="24"/>
          <w:szCs w:val="24"/>
        </w:rPr>
        <w:t xml:space="preserve">- тарифа на распределение электроэнергии;</w:t>
      </w:r>
    </w:p>
    <w:p>
      <w:pPr>
        <w:spacing w:after="120"/>
        <w:jc w:val="both"/>
      </w:pPr>
      <w:r>
        <w:rPr>
          <w:rFonts w:ascii="Arial" w:cs="Arial" w:eastAsia="Arial" w:hAnsi="Arial"/>
          <w:sz w:val="24"/>
          <w:szCs w:val="24"/>
        </w:rPr>
        <w:t xml:space="preserve">- тарифа на сбыт (продажу)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производство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производство электрической энергии будет состоять из двух частей для отражения постоянных и переменных затрат на выработку электроэнергии. Плата за мощность, определяемая как затраты на МВт вырабатываемой мощности, будет покрывать постоянные затраты генерирующей компании, а плата за энергию, определяемая как затраты на кВт.ч отпущенной электрической энергии, будет покрывать ее переменные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передачу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передачу электрической энергии состоит из двух частей:</w:t>
      </w:r>
    </w:p>
    <w:p>
      <w:pPr>
        <w:spacing w:after="120"/>
        <w:jc w:val="both"/>
      </w:pPr>
      <w:r>
        <w:rPr>
          <w:rFonts w:ascii="Arial" w:cs="Arial" w:eastAsia="Arial" w:hAnsi="Arial"/>
          <w:sz w:val="24"/>
          <w:szCs w:val="24"/>
        </w:rPr>
        <w:t xml:space="preserve">- платы за подключение к системе высоковольтных линий передачи (затраты на МВт заявленной мощности);</w:t>
      </w:r>
    </w:p>
    <w:p>
      <w:pPr>
        <w:spacing w:after="120"/>
        <w:jc w:val="both"/>
      </w:pPr>
      <w:r>
        <w:rPr>
          <w:rFonts w:ascii="Arial" w:cs="Arial" w:eastAsia="Arial" w:hAnsi="Arial"/>
          <w:sz w:val="24"/>
          <w:szCs w:val="24"/>
        </w:rPr>
        <w:t xml:space="preserve">- платы за использование системы (затраты на кВт-ч переданной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распределение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распределение электрической энергии состоит из двух частей:</w:t>
      </w:r>
    </w:p>
    <w:p>
      <w:pPr>
        <w:spacing w:after="120"/>
        <w:jc w:val="both"/>
      </w:pPr>
      <w:r>
        <w:rPr>
          <w:rFonts w:ascii="Arial" w:cs="Arial" w:eastAsia="Arial" w:hAnsi="Arial"/>
          <w:sz w:val="24"/>
          <w:szCs w:val="24"/>
        </w:rPr>
        <w:t xml:space="preserve">- платы за подключение к системе распределительных сетей (затраты на кВт заявленной или разращенной мощности);</w:t>
      </w:r>
    </w:p>
    <w:p>
      <w:pPr>
        <w:spacing w:after="120"/>
        <w:jc w:val="both"/>
      </w:pPr>
      <w:r>
        <w:rPr>
          <w:rFonts w:ascii="Arial" w:cs="Arial" w:eastAsia="Arial" w:hAnsi="Arial"/>
          <w:sz w:val="24"/>
          <w:szCs w:val="24"/>
        </w:rPr>
        <w:t xml:space="preserve">- платы за использование системы (затраты на кВт.ч распределенной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сбыт (продажу)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сбыт электрической энергии включает в себя все затраты энергокомпаний, непосредственно связанные со сбытом электроэнергии (торговые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для конечного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покрытия реальных экономических затрат в будущем тариф для конечного потребителя будет основываться на затратах по электроснабжению конечных потребителей, меняющихся в зависимости от уровня напряжения. Этот тариф будет покрывать затраты на выработку, передачу, распределение и сбыт электрической энергии. При этом планируется, что тариф для конечных потребителей будет также состоять из двух частей, отражающих постоянные и переменные затраты энергокомпаний на каждом этапе.</w:t>
      </w:r>
    </w:p>
    <w:p>
      <w:pPr>
        <w:spacing w:after="120"/>
        <w:jc w:val="both"/>
      </w:pPr>
      <w:r>
        <w:rPr>
          <w:rFonts w:ascii="Arial" w:cs="Arial" w:eastAsia="Arial" w:hAnsi="Arial"/>
          <w:sz w:val="24"/>
          <w:szCs w:val="24"/>
        </w:rPr>
        <w:t xml:space="preserve">Все перечисленные выше тарифы должны включать в себя элемент прибыли для создания благоприятной инвестиционной среды в энергетике в целом и в каждом ее секторе в отдельности.</w:t>
      </w:r>
    </w:p>
    <w:p>
      <w:pPr>
        <w:spacing w:after="120"/>
        <w:jc w:val="both"/>
      </w:pPr>
      <w:r>
        <w:rPr>
          <w:rFonts w:ascii="Arial" w:cs="Arial" w:eastAsia="Arial" w:hAnsi="Arial"/>
          <w:sz w:val="24"/>
          <w:szCs w:val="24"/>
        </w:rPr>
        <w:t xml:space="preserve">Резкий переход на новые принципы тарифообразования в настоящее время невозможен. В связи с этим для постепенной подготовки такого перехода, при установлении тарифов на электрическую энергию для различных групп потребителей в период 2008-2012 годы планируется применять следующие принципы:</w:t>
      </w:r>
    </w:p>
    <w:p>
      <w:pPr>
        <w:spacing w:after="120"/>
        <w:jc w:val="both"/>
      </w:pPr>
      <w:r>
        <w:rPr>
          <w:rFonts w:ascii="Arial" w:cs="Arial" w:eastAsia="Arial" w:hAnsi="Arial"/>
          <w:sz w:val="24"/>
          <w:szCs w:val="24"/>
        </w:rPr>
        <w:t xml:space="preserve">- принцип большего роста тарифов для групп потребителей, подключенных к сетям низкого напряжения, а это в настоящее время в основном бюджетные потребители, сельхозпотребители и население;</w:t>
      </w:r>
    </w:p>
    <w:p>
      <w:pPr>
        <w:spacing w:after="120"/>
        <w:jc w:val="both"/>
      </w:pPr>
      <w:r>
        <w:rPr>
          <w:rFonts w:ascii="Arial" w:cs="Arial" w:eastAsia="Arial" w:hAnsi="Arial"/>
          <w:sz w:val="24"/>
          <w:szCs w:val="24"/>
        </w:rPr>
        <w:t xml:space="preserve">- принцип более медленного роста тарифов для потребителей, подключенных к сетям высокого напряжения, т.е. в основном для промышленных и прочих групп потребителей.</w:t>
      </w:r>
    </w:p>
    <w:p>
      <w:pPr>
        <w:spacing w:after="120"/>
        <w:jc w:val="both"/>
      </w:pPr>
      <w:r>
        <w:rPr>
          <w:rFonts w:ascii="Arial" w:cs="Arial" w:eastAsia="Arial" w:hAnsi="Arial"/>
          <w:sz w:val="24"/>
          <w:szCs w:val="24"/>
        </w:rPr>
        <w:t xml:space="preserve">В течение среднесрочного периода 2008-2012 годы полностью устранить сложившуюся систему перекрестного субсидирования между различными группами потребителей не удастся, но именно это будет являться конечной целью тарифной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Процедуры установления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новых процедур тарифообразования заключается в установлении более эффективной структуры тарифов и поэтапном приведении их в соответствие с реальными затратами энергокомпаний.</w:t>
      </w:r>
    </w:p>
    <w:p>
      <w:pPr>
        <w:spacing w:after="120"/>
        <w:jc w:val="both"/>
      </w:pPr>
      <w:r>
        <w:rPr>
          <w:rFonts w:ascii="Arial" w:cs="Arial" w:eastAsia="Arial" w:hAnsi="Arial"/>
          <w:sz w:val="24"/>
          <w:szCs w:val="24"/>
        </w:rPr>
        <w:t xml:space="preserve">Повышений тарифов на электрическую энергию в период 2008-2012 годы, первое такое повышение должно состояться 1 июля 2008 года, а затем изменение тарифа будет происходить ежегодно с 1 апреля, согласно Приложению № 1. Такие даты ввода новых тарифов выбраны исходя из следующих целей:</w:t>
      </w:r>
    </w:p>
    <w:p>
      <w:pPr>
        <w:spacing w:after="120"/>
        <w:jc w:val="both"/>
      </w:pPr>
      <w:r>
        <w:rPr>
          <w:rFonts w:ascii="Arial" w:cs="Arial" w:eastAsia="Arial" w:hAnsi="Arial"/>
          <w:sz w:val="24"/>
          <w:szCs w:val="24"/>
        </w:rPr>
        <w:t xml:space="preserve">- защитить потребителей от роста тарифов в отопительный период;</w:t>
      </w:r>
    </w:p>
    <w:p>
      <w:pPr>
        <w:spacing w:after="120"/>
        <w:jc w:val="both"/>
      </w:pPr>
      <w:r>
        <w:rPr>
          <w:rFonts w:ascii="Arial" w:cs="Arial" w:eastAsia="Arial" w:hAnsi="Arial"/>
          <w:sz w:val="24"/>
          <w:szCs w:val="24"/>
        </w:rPr>
        <w:t xml:space="preserve">- дать возможность потребителю привыкнуть к новому уровню тарифов.</w:t>
      </w:r>
    </w:p>
    <w:p>
      <w:pPr>
        <w:spacing w:after="120"/>
        <w:jc w:val="both"/>
      </w:pPr>
      <w:r>
        <w:rPr>
          <w:rFonts w:ascii="Arial" w:cs="Arial" w:eastAsia="Arial" w:hAnsi="Arial"/>
          <w:sz w:val="24"/>
          <w:szCs w:val="24"/>
        </w:rPr>
        <w:t xml:space="preserve">При предлагаемом темпе повышения тарифов, средневыставленный тариф на внутреннем рынке достигнет к 2012 году 1,42 сом/кВт.ч.</w:t>
      </w:r>
    </w:p>
    <w:p>
      <w:pPr>
        <w:spacing w:after="120"/>
        <w:jc w:val="both"/>
      </w:pPr>
      <w:r>
        <w:rPr>
          <w:rFonts w:ascii="Arial" w:cs="Arial" w:eastAsia="Arial" w:hAnsi="Arial"/>
          <w:sz w:val="24"/>
          <w:szCs w:val="24"/>
        </w:rPr>
        <w:t xml:space="preserve">Однако, данный уровень тарифов может быть пересмотрен в результате рассмотрения инвестиционных обязательств энергокомпаний, а также других отклонений от расчетных параметров заложенных в тарифной политике.</w:t>
      </w:r>
    </w:p>
    <w:p>
      <w:pPr>
        <w:spacing w:after="120"/>
        <w:jc w:val="both"/>
      </w:pPr>
      <w:r>
        <w:rPr>
          <w:rFonts w:ascii="Arial" w:cs="Arial" w:eastAsia="Arial" w:hAnsi="Arial"/>
          <w:sz w:val="24"/>
          <w:szCs w:val="24"/>
        </w:rPr>
        <w:t xml:space="preserve">Тарифы на электрическую энергию для конечных потребителей устанавливаются на весь период 2008-2012 годы. До 1 февраля каждого года будут рассматриваться фактические результаты работы энергосектора в предыдущем году. По итогам такого рассмотрения будет корректироваться уровень ТПЗ и темпы повышения тарифов на следующий год, а затем до 15 февраля вноситься соответствующие предложения в Правительство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Обязательства по дальнейшей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2012 году предусматривается значительное сокращение перекрестных субсидий между различными категориями потребителей, при этом конечной целью должно быть их постепенное полное устранение и приведение уровня тарифов для каждой группы потребителей в соответствие с уровнем реальных затрат на их электроснабжение. В этой связи, к январю 2011 года будет разработана методология по установлению тарифов на электрическую энергию, дифференцированных по уровням питающего напряжения, которая должна быть основана на распределении затрат электроснабжающей компании между принадлежащими ей сетями различного напряжения. Это будет означать, что с 2012 года уровень тарифов будет различным в зависимости от уровня напряжения в точке присоединения потребителя к сети электроснабжения, и не будет зависеть от целей использования потребителем электроэнергии (бытовой, промышленный и др.).</w:t>
      </w:r>
    </w:p>
    <w:p>
      <w:pPr>
        <w:spacing w:after="120"/>
        <w:jc w:val="both"/>
      </w:pPr>
      <w:r>
        <w:rPr>
          <w:rFonts w:ascii="Arial" w:cs="Arial" w:eastAsia="Arial" w:hAnsi="Arial"/>
          <w:sz w:val="24"/>
          <w:szCs w:val="24"/>
        </w:rPr>
        <w:t xml:space="preserve">2. Значительное отставание энергокомпаний в проведении ремонтных работ и реконструкции энергетического оборудования, накопившееся за последние годы из-за отсутствия необходимых средств, свидетельствует о том, что существующие объемы инвестиций в энергетический сектор недостаточны. Следовательно, может возникнуть необходимость в привлечении дополнительных инвестиций. В настоящее время единственно возможным источником возврата подобных вложений являются тарифы на электрическую энергию. В связи с этим, при установлении будущих тарифов на электрическую энергию, необходимо корректировать уровень тарифов и темпы их роста с учетом фактически поступивших в энергетический сектор инвестиций.</w:t>
      </w:r>
    </w:p>
    <w:p>
      <w:pPr>
        <w:spacing w:after="120"/>
        <w:jc w:val="both"/>
      </w:pPr>
      <w:r>
        <w:rPr>
          <w:rFonts w:ascii="Arial" w:cs="Arial" w:eastAsia="Arial" w:hAnsi="Arial"/>
          <w:sz w:val="24"/>
          <w:szCs w:val="24"/>
        </w:rPr>
        <w:t xml:space="preserve">3. При отклонении фактического уровня основных параметров и допущений от значений, заложенных при расчете тарифной политики (см. Таблицу), при установлении тарифов на электрическую энергию должны также корректироваться уровень тарифов и темпы их повышения с учетом таких отклонений. Причем, такая корректировка должна производиться как в сторону увеличения, так и в сторону снижения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Квазифискальный дефицит (КФД) в электроэнергетике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Меморандумом между Правительством Кыргызской Республики и Международным валютным фондом (далее - МВФ) для оценки ситуации в электроэнергетическом секторе Кыргызской Республики с 2003 года, был введен новый экономический показатель - квазифискальный дефицит в энергетике, уровень которого отслеживался МВФ и Всемирным банком (далее - ВБ).</w:t>
      </w:r>
    </w:p>
    <w:p>
      <w:pPr>
        <w:spacing w:after="120"/>
        <w:jc w:val="both"/>
      </w:pPr>
      <w:r>
        <w:rPr>
          <w:rFonts w:ascii="Arial" w:cs="Arial" w:eastAsia="Arial" w:hAnsi="Arial"/>
          <w:sz w:val="24"/>
          <w:szCs w:val="24"/>
        </w:rPr>
        <w:t xml:space="preserve">По методике, разработанной ВБ и МВФ, уровень КФД определяется дефицитом средств, который приносит государству сектор электроэнергетики по причинам:</w:t>
      </w:r>
    </w:p>
    <w:p>
      <w:pPr>
        <w:spacing w:after="120"/>
        <w:jc w:val="both"/>
      </w:pPr>
      <w:r>
        <w:rPr>
          <w:rFonts w:ascii="Arial" w:cs="Arial" w:eastAsia="Arial" w:hAnsi="Arial"/>
          <w:sz w:val="24"/>
          <w:szCs w:val="24"/>
        </w:rPr>
        <w:t xml:space="preserve">- высокого уровня коммерческих и технических потерь;</w:t>
      </w:r>
    </w:p>
    <w:p>
      <w:pPr>
        <w:spacing w:after="120"/>
        <w:jc w:val="both"/>
      </w:pPr>
      <w:r>
        <w:rPr>
          <w:rFonts w:ascii="Arial" w:cs="Arial" w:eastAsia="Arial" w:hAnsi="Arial"/>
          <w:sz w:val="24"/>
          <w:szCs w:val="24"/>
        </w:rPr>
        <w:t xml:space="preserve">- низкого уровня тарифов по сравнению с необходимым тарифом, для покрытия долгосрочных затрат энергокомпаний на производство, передачу, распределение и сбыт электрической энергии;</w:t>
      </w:r>
    </w:p>
    <w:p>
      <w:pPr>
        <w:spacing w:after="120"/>
        <w:jc w:val="both"/>
      </w:pPr>
      <w:r>
        <w:rPr>
          <w:rFonts w:ascii="Arial" w:cs="Arial" w:eastAsia="Arial" w:hAnsi="Arial"/>
          <w:sz w:val="24"/>
          <w:szCs w:val="24"/>
        </w:rPr>
        <w:t xml:space="preserve">- низкого уровня собираемости платежей в денежной форме.</w:t>
      </w:r>
    </w:p>
    <w:p>
      <w:pPr>
        <w:spacing w:after="120"/>
        <w:jc w:val="both"/>
      </w:pPr>
      <w:r>
        <w:rPr>
          <w:rFonts w:ascii="Arial" w:cs="Arial" w:eastAsia="Arial" w:hAnsi="Arial"/>
          <w:sz w:val="24"/>
          <w:szCs w:val="24"/>
        </w:rPr>
        <w:t xml:space="preserve">Методология расчета КФД приведена в Приложении № 2.</w:t>
      </w:r>
    </w:p>
    <w:p>
      <w:pPr>
        <w:spacing w:after="120"/>
        <w:jc w:val="both"/>
      </w:pPr>
      <w:r>
        <w:rPr>
          <w:rFonts w:ascii="Arial" w:cs="Arial" w:eastAsia="Arial" w:hAnsi="Arial"/>
          <w:sz w:val="24"/>
          <w:szCs w:val="24"/>
        </w:rPr>
        <w:t xml:space="preserve">Далее, рассчитанный таким методом абсолютный размер КФД в млрд. сомов соотносился с объемом ВВП Кыргызской Республики. При этом обязательством Кыргызской Республики было поэтапное снижение уровня КФД на 1,3% от ВВП ежегодно. Поскольку КФД является результатом взаимодействия трех составляющих - уровня потерь электроэнергии, сбора платежей в денежной форме и уровня тарифов на внутреннем рынке, темпы повышения тарифов на электрическую энергию для потребителей являются только одной из переменных, оказывающих влияние на снижение уровня КФД.</w:t>
      </w:r>
    </w:p>
    <w:p>
      <w:pPr>
        <w:spacing w:after="120"/>
        <w:jc w:val="both"/>
      </w:pPr>
      <w:r>
        <w:rPr>
          <w:rFonts w:ascii="Arial" w:cs="Arial" w:eastAsia="Arial" w:hAnsi="Arial"/>
          <w:sz w:val="24"/>
          <w:szCs w:val="24"/>
        </w:rPr>
        <w:t xml:space="preserve">В настоящее время миссии ВБ и МВФ завершают свою работу по мониторингу данного показателя. Однако, в целях оценки эффективности проводимой государством в энергетике политики Министерство промышленности, энергетики и топливных ресурсов Кыргызской Республики продолжит самостоятельно мониторинг показателя КФД.</w:t>
      </w:r>
    </w:p>
    <w:p>
      <w:pPr>
        <w:spacing w:after="120"/>
        <w:jc w:val="both"/>
      </w:pPr>
      <w:r>
        <w:rPr>
          <w:rFonts w:ascii="Arial" w:cs="Arial" w:eastAsia="Arial" w:hAnsi="Arial"/>
          <w:sz w:val="24"/>
          <w:szCs w:val="24"/>
        </w:rPr>
        <w:t xml:space="preserve">Для того чтобы достичь цели по постепенному снижению уровня КФД тарифной политикой предусматривается:</w:t>
      </w:r>
    </w:p>
    <w:p>
      <w:pPr>
        <w:spacing w:after="120"/>
        <w:jc w:val="both"/>
      </w:pPr>
      <w:r>
        <w:rPr>
          <w:rFonts w:ascii="Arial" w:cs="Arial" w:eastAsia="Arial" w:hAnsi="Arial"/>
          <w:sz w:val="24"/>
          <w:szCs w:val="24"/>
        </w:rPr>
        <w:t xml:space="preserve">а) уровень потерь электроэнергии в распределительных сетях 30% в 2008 году и снижение до 22% в 2012 году, темп снижения потерь составит 2% в год;</w:t>
      </w:r>
    </w:p>
    <w:p>
      <w:pPr>
        <w:spacing w:after="120"/>
        <w:jc w:val="both"/>
      </w:pPr>
      <w:r>
        <w:rPr>
          <w:rFonts w:ascii="Arial" w:cs="Arial" w:eastAsia="Arial" w:hAnsi="Arial"/>
          <w:sz w:val="24"/>
          <w:szCs w:val="24"/>
        </w:rPr>
        <w:t xml:space="preserve">б) уровень сбора наличными за отпущенную электроэнергию в размере 93% в 2008 году с постепенным ростом до 97% к 2012 году, или рост на 1% в год;</w:t>
      </w:r>
    </w:p>
    <w:p>
      <w:pPr>
        <w:spacing w:after="120"/>
        <w:jc w:val="both"/>
      </w:pPr>
      <w:r>
        <w:rPr>
          <w:rFonts w:ascii="Arial" w:cs="Arial" w:eastAsia="Arial" w:hAnsi="Arial"/>
          <w:sz w:val="24"/>
          <w:szCs w:val="24"/>
        </w:rPr>
        <w:t xml:space="preserve">в) при ежегодном пересмотре уровня тарифов предусматривается рост ТПЗ (и как следствие КФД) в результате инфляции сома.</w:t>
      </w:r>
    </w:p>
    <w:p>
      <w:pPr>
        <w:spacing w:after="120"/>
        <w:jc w:val="both"/>
      </w:pPr>
      <w:r>
        <w:rPr>
          <w:rFonts w:ascii="Arial" w:cs="Arial" w:eastAsia="Arial" w:hAnsi="Arial"/>
          <w:sz w:val="24"/>
          <w:szCs w:val="24"/>
        </w:rPr>
        <w:t xml:space="preserve">Если в результате принимаемых мер тарифного регулирования не приведут к снижению КФД, то указанные в приложении № 1 тарифы и темпы их роста могут быть пересмотрены.</w:t>
      </w:r>
    </w:p>
    <w:p>
      <w:pPr>
        <w:spacing w:after="120"/>
        <w:jc w:val="both"/>
      </w:pPr>
      <w:r>
        <w:rPr>
          <w:rFonts w:ascii="Arial" w:cs="Arial" w:eastAsia="Arial" w:hAnsi="Arial"/>
          <w:sz w:val="24"/>
          <w:szCs w:val="24"/>
        </w:rPr>
        <w:t xml:space="preserve">При этом, Министерство промышленности, энергетики и топливных ресурсов Кыргызской Республики и все энергокомпании предпримут дополнительные усилия для достижения более высоких темпов снижения уровня потерь и улучшения сборов наличными, чем это планируется в тарифной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тарифов и темпы их повышения на 2008-2012 годы, отраженные в тарифной политике, не являются независимой и постоянной величиной, а лишь отражают возможный сценарий развития. Это обусловлено зависимостью необходимого уровня тарифов и темпов их повышения от допущений принятых при расчете тарифной политики.</w:t>
      </w:r>
    </w:p>
    <w:p>
      <w:pPr>
        <w:spacing w:after="120"/>
        <w:jc w:val="both"/>
      </w:pPr>
      <w:r>
        <w:rPr>
          <w:rFonts w:ascii="Arial" w:cs="Arial" w:eastAsia="Arial" w:hAnsi="Arial"/>
          <w:sz w:val="24"/>
          <w:szCs w:val="24"/>
        </w:rPr>
        <w:t xml:space="preserve">В целях проведения эффективной тарифной политики в электроэнергетике необходимо ежегодно отслеживать выполнение заложенных в тарифной политике параметров и вносить своевременные корректировки в предложенный план повышения тарифов на электроэнергию.</w:t>
      </w:r>
    </w:p>
    <w:p>
      <w:pPr>
        <w:spacing w:after="120"/>
        <w:jc w:val="both"/>
      </w:pPr>
      <w:r>
        <w:rPr>
          <w:rFonts w:ascii="Arial" w:cs="Arial" w:eastAsia="Arial" w:hAnsi="Arial"/>
          <w:sz w:val="24"/>
          <w:szCs w:val="24"/>
        </w:rPr>
        <w:t xml:space="preserve">В целях обеспечения устойчивого развития, а также стабильного и надежного функционирования электроэнергетической отрасли республики, при осуществлении тарифной политики органам государственного управления Кыргызской Республики необходимо руководствоваться в первую очередь экономическими соображениями, стараясь исключить влияние политических факторов.</w:t>
      </w:r>
    </w:p>
    <w:p>
      <w:pPr>
        <w:spacing w:after="120"/>
        <w:jc w:val="both"/>
      </w:pPr>
      <w:r>
        <w:rPr>
          <w:rFonts w:ascii="Arial" w:cs="Arial" w:eastAsia="Arial" w:hAnsi="Arial"/>
          <w:sz w:val="24"/>
          <w:szCs w:val="24"/>
        </w:rPr>
        <w:t xml:space="preserve">Успешная реализация предлагаемой тарифной политики во многом зависит от темпов проведения реформ в сфере социальной защиты и макроэкономических показателей развития Кыргызской Республики.</w:t>
      </w:r>
    </w:p>
    <w:p>
      <w:pPr>
        <w:spacing w:after="120"/>
        <w:jc w:val="both"/>
      </w:pPr>
      <w:r>
        <w:rPr>
          <w:rFonts w:ascii="Arial" w:cs="Arial" w:eastAsia="Arial" w:hAnsi="Arial"/>
          <w:sz w:val="24"/>
          <w:szCs w:val="24"/>
        </w:rPr>
        <w:t xml:space="preserve">Выполнение намеченных в тарифной политике планов позволит повысить инвестиционную привлекательность электроэнергетики Кыргызской Республики, остановить процессы, ведущие к разрушению энергосистемы, а также создаст экономические предпосылки для успешного функционирования и развития одной из важнейших бюджетообразующих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│Расчетные допущения│     │ 2008  │  2009  │ 2010  │ 2011  │ 2012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│Суммарные потери в │  %  │  30   │  28    │  26   │  24   │  22   │</w:t>
      </w:r>
    </w:p>
    <w:p>
      <w:pPr>
        <w:spacing w:after="120"/>
        <w:jc w:val="both"/>
      </w:pPr>
      <w:r>
        <w:rPr>
          <w:rFonts w:ascii="Arial" w:cs="Arial" w:eastAsia="Arial" w:hAnsi="Arial"/>
          <w:sz w:val="24"/>
          <w:szCs w:val="24"/>
        </w:rPr>
        <w:t xml:space="preserve">│  │распределительных  │     │       │        │       │       │       │</w:t>
      </w:r>
    </w:p>
    <w:p>
      <w:pPr>
        <w:spacing w:after="120"/>
        <w:jc w:val="both"/>
      </w:pPr>
      <w:r>
        <w:rPr>
          <w:rFonts w:ascii="Arial" w:cs="Arial" w:eastAsia="Arial" w:hAnsi="Arial"/>
          <w:sz w:val="24"/>
          <w:szCs w:val="24"/>
        </w:rPr>
        <w:t xml:space="preserve">│  │сетях покрываемые  │     │       │        │       │       │       │</w:t>
      </w:r>
    </w:p>
    <w:p>
      <w:pPr>
        <w:spacing w:after="120"/>
        <w:jc w:val="both"/>
      </w:pPr>
      <w:r>
        <w:rPr>
          <w:rFonts w:ascii="Arial" w:cs="Arial" w:eastAsia="Arial" w:hAnsi="Arial"/>
          <w:sz w:val="24"/>
          <w:szCs w:val="24"/>
        </w:rPr>
        <w:t xml:space="preserve">│  │тарифом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│Уровень инфляции за│  %  │  20,1 │  15    │  10   │  10   │  10   │</w:t>
      </w:r>
    </w:p>
    <w:p>
      <w:pPr>
        <w:spacing w:after="120"/>
        <w:jc w:val="both"/>
      </w:pPr>
      <w:r>
        <w:rPr>
          <w:rFonts w:ascii="Arial" w:cs="Arial" w:eastAsia="Arial" w:hAnsi="Arial"/>
          <w:sz w:val="24"/>
          <w:szCs w:val="24"/>
        </w:rPr>
        <w:t xml:space="preserve">│  │предыдущий год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│Уровень сбора за   │  %  │  93   │  94    │  95   │  96   │  97   │</w:t>
      </w:r>
    </w:p>
    <w:p>
      <w:pPr>
        <w:spacing w:after="120"/>
        <w:jc w:val="both"/>
      </w:pPr>
      <w:r>
        <w:rPr>
          <w:rFonts w:ascii="Arial" w:cs="Arial" w:eastAsia="Arial" w:hAnsi="Arial"/>
          <w:sz w:val="24"/>
          <w:szCs w:val="24"/>
        </w:rPr>
        <w:t xml:space="preserve">│  │потребленную       │     │       │        │       │       │       │</w:t>
      </w:r>
    </w:p>
    <w:p>
      <w:pPr>
        <w:spacing w:after="120"/>
        <w:jc w:val="both"/>
      </w:pPr>
      <w:r>
        <w:rPr>
          <w:rFonts w:ascii="Arial" w:cs="Arial" w:eastAsia="Arial" w:hAnsi="Arial"/>
          <w:sz w:val="24"/>
          <w:szCs w:val="24"/>
        </w:rPr>
        <w:t xml:space="preserve">│  │электроэнергию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│Курс доллара США   │сом  │  36   │  36    │  36   │  36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│Объем экспорта     │млн. │1000   │1000    │1000   │1000   │1000   │</w:t>
      </w:r>
    </w:p>
    <w:p>
      <w:pPr>
        <w:spacing w:after="120"/>
        <w:jc w:val="both"/>
      </w:pPr>
      <w:r>
        <w:rPr>
          <w:rFonts w:ascii="Arial" w:cs="Arial" w:eastAsia="Arial" w:hAnsi="Arial"/>
          <w:sz w:val="24"/>
          <w:szCs w:val="24"/>
        </w:rPr>
        <w:t xml:space="preserve">│  │                   │кВтч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│Цена экспорта      │Цент │   3,0 │   3,0  │   3,0 │   3,0 │   3,0 │</w:t>
      </w:r>
    </w:p>
    <w:p>
      <w:pPr>
        <w:spacing w:after="120"/>
        <w:jc w:val="both"/>
      </w:pPr>
      <w:r>
        <w:rPr>
          <w:rFonts w:ascii="Arial" w:cs="Arial" w:eastAsia="Arial" w:hAnsi="Arial"/>
          <w:sz w:val="24"/>
          <w:szCs w:val="24"/>
        </w:rPr>
        <w:t xml:space="preserve">│  │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│Выработка ТЭЦ      │млн. │1651   │1000    │1000   │1000   │1000   │</w:t>
      </w:r>
    </w:p>
    <w:p>
      <w:pPr>
        <w:spacing w:after="120"/>
        <w:jc w:val="both"/>
      </w:pPr>
      <w:r>
        <w:rPr>
          <w:rFonts w:ascii="Arial" w:cs="Arial" w:eastAsia="Arial" w:hAnsi="Arial"/>
          <w:sz w:val="24"/>
          <w:szCs w:val="24"/>
        </w:rPr>
        <w:t xml:space="preserve">│  │                   │кВтч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│Капитальные        │млн. │ 493,5 │ 567,6  │ 624,3 │ 686,8 │ 755,4 │</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│сектор             │     │       │        │       │       │       │</w:t>
      </w:r>
    </w:p>
    <w:p>
      <w:pPr>
        <w:spacing w:after="120"/>
        <w:jc w:val="both"/>
      </w:pPr>
      <w:r>
        <w:rPr>
          <w:rFonts w:ascii="Arial" w:cs="Arial" w:eastAsia="Arial" w:hAnsi="Arial"/>
          <w:sz w:val="24"/>
          <w:szCs w:val="24"/>
        </w:rPr>
        <w:t xml:space="preserve">│  │распределения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│Капитальные        │млн. │  60   │  69    │  75,9 │  84,5 │  91,8 │</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│в систему          │     │       │        │       │       │       │</w:t>
      </w:r>
    </w:p>
    <w:p>
      <w:pPr>
        <w:spacing w:after="120"/>
        <w:jc w:val="both"/>
      </w:pPr>
      <w:r>
        <w:rPr>
          <w:rFonts w:ascii="Arial" w:cs="Arial" w:eastAsia="Arial" w:hAnsi="Arial"/>
          <w:sz w:val="24"/>
          <w:szCs w:val="24"/>
        </w:rPr>
        <w:t xml:space="preserve">│  │высоковольтных     │     │       │        │       │       │       │</w:t>
      </w:r>
    </w:p>
    <w:p>
      <w:pPr>
        <w:spacing w:after="120"/>
        <w:jc w:val="both"/>
      </w:pPr>
      <w:r>
        <w:rPr>
          <w:rFonts w:ascii="Arial" w:cs="Arial" w:eastAsia="Arial" w:hAnsi="Arial"/>
          <w:sz w:val="24"/>
          <w:szCs w:val="24"/>
        </w:rPr>
        <w:t xml:space="preserve">│  │линий передачи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│10│Капитальные        │млн. │ 658   │1360    │1115   │1115   │1115   │</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│в производство     │     │       │        │       │       │       │</w:t>
      </w:r>
    </w:p>
    <w:p>
      <w:pPr>
        <w:spacing w:after="120"/>
        <w:jc w:val="both"/>
      </w:pPr>
      <w:r>
        <w:rPr>
          <w:rFonts w:ascii="Arial" w:cs="Arial" w:eastAsia="Arial" w:hAnsi="Arial"/>
          <w:sz w:val="24"/>
          <w:szCs w:val="24"/>
        </w:rPr>
        <w:t xml:space="preserve">│  │(генерацию)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│11│Капитальные        │млрд.│   1,21│   1,996│   1,81│   1,89│   1,96│</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│по энергосистеме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│12│Амортизационные    │млн. │  78,8 │  82    │  82   │  82   │  82   │</w:t>
      </w:r>
    </w:p>
    <w:p>
      <w:pPr>
        <w:spacing w:after="120"/>
        <w:jc w:val="both"/>
      </w:pPr>
      <w:r>
        <w:rPr>
          <w:rFonts w:ascii="Arial" w:cs="Arial" w:eastAsia="Arial" w:hAnsi="Arial"/>
          <w:sz w:val="24"/>
          <w:szCs w:val="24"/>
        </w:rPr>
        <w:t xml:space="preserve">│  │отчисления в       │сом  │       │        │       │       │       │</w:t>
      </w:r>
    </w:p>
    <w:p>
      <w:pPr>
        <w:spacing w:after="120"/>
        <w:jc w:val="both"/>
      </w:pPr>
      <w:r>
        <w:rPr>
          <w:rFonts w:ascii="Arial" w:cs="Arial" w:eastAsia="Arial" w:hAnsi="Arial"/>
          <w:sz w:val="24"/>
          <w:szCs w:val="24"/>
        </w:rPr>
        <w:t xml:space="preserve">│  │секторе            │     │       │        │       │       │       │</w:t>
      </w:r>
    </w:p>
    <w:p>
      <w:pPr>
        <w:spacing w:after="120"/>
        <w:jc w:val="both"/>
      </w:pPr>
      <w:r>
        <w:rPr>
          <w:rFonts w:ascii="Arial" w:cs="Arial" w:eastAsia="Arial" w:hAnsi="Arial"/>
          <w:sz w:val="24"/>
          <w:szCs w:val="24"/>
        </w:rPr>
        <w:t xml:space="preserve">│  │распределения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│13│Амортизационные    │млн. │ 277   │ 277    │ 277   │ 277   │ 277   │</w:t>
      </w:r>
    </w:p>
    <w:p>
      <w:pPr>
        <w:spacing w:after="120"/>
        <w:jc w:val="both"/>
      </w:pPr>
      <w:r>
        <w:rPr>
          <w:rFonts w:ascii="Arial" w:cs="Arial" w:eastAsia="Arial" w:hAnsi="Arial"/>
          <w:sz w:val="24"/>
          <w:szCs w:val="24"/>
        </w:rPr>
        <w:t xml:space="preserve">│  │отчисления в       │сом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│высоковольтных     │     │       │        │       │       │       │</w:t>
      </w:r>
    </w:p>
    <w:p>
      <w:pPr>
        <w:spacing w:after="120"/>
        <w:jc w:val="both"/>
      </w:pPr>
      <w:r>
        <w:rPr>
          <w:rFonts w:ascii="Arial" w:cs="Arial" w:eastAsia="Arial" w:hAnsi="Arial"/>
          <w:sz w:val="24"/>
          <w:szCs w:val="24"/>
        </w:rPr>
        <w:t xml:space="preserve">│  │линий передачи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│14│Амортизационные    │млн. │ 117,8 │ 123,1  │ 128,7 │ 134,5 │ 140,5 │</w:t>
      </w:r>
    </w:p>
    <w:p>
      <w:pPr>
        <w:spacing w:after="120"/>
        <w:jc w:val="both"/>
      </w:pPr>
      <w:r>
        <w:rPr>
          <w:rFonts w:ascii="Arial" w:cs="Arial" w:eastAsia="Arial" w:hAnsi="Arial"/>
          <w:sz w:val="24"/>
          <w:szCs w:val="24"/>
        </w:rPr>
        <w:t xml:space="preserve">│  │отчисления в       │сом  │       │        │       │       │       │</w:t>
      </w:r>
    </w:p>
    <w:p>
      <w:pPr>
        <w:spacing w:after="120"/>
        <w:jc w:val="both"/>
      </w:pPr>
      <w:r>
        <w:rPr>
          <w:rFonts w:ascii="Arial" w:cs="Arial" w:eastAsia="Arial" w:hAnsi="Arial"/>
          <w:sz w:val="24"/>
          <w:szCs w:val="24"/>
        </w:rPr>
        <w:t xml:space="preserve">│  │производстве       │     │       │        │       │       │       │</w:t>
      </w:r>
    </w:p>
    <w:p>
      <w:pPr>
        <w:spacing w:after="120"/>
        <w:jc w:val="both"/>
      </w:pPr>
      <w:r>
        <w:rPr>
          <w:rFonts w:ascii="Arial" w:cs="Arial" w:eastAsia="Arial" w:hAnsi="Arial"/>
          <w:sz w:val="24"/>
          <w:szCs w:val="24"/>
        </w:rPr>
        <w:t xml:space="preserve">│  │(генерации)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│15│Амортизационные    │млн. │ 473,6 │ 482,9  │ 487,7 │ 493,5 │ 499,5 │</w:t>
      </w:r>
    </w:p>
    <w:p>
      <w:pPr>
        <w:spacing w:after="120"/>
        <w:jc w:val="both"/>
      </w:pPr>
      <w:r>
        <w:rPr>
          <w:rFonts w:ascii="Arial" w:cs="Arial" w:eastAsia="Arial" w:hAnsi="Arial"/>
          <w:sz w:val="24"/>
          <w:szCs w:val="24"/>
        </w:rPr>
        <w:t xml:space="preserve">│  │отчисления по      │сом  │       │        │       │       │       │</w:t>
      </w:r>
    </w:p>
    <w:p>
      <w:pPr>
        <w:spacing w:after="120"/>
        <w:jc w:val="both"/>
      </w:pPr>
      <w:r>
        <w:rPr>
          <w:rFonts w:ascii="Arial" w:cs="Arial" w:eastAsia="Arial" w:hAnsi="Arial"/>
          <w:sz w:val="24"/>
          <w:szCs w:val="24"/>
        </w:rPr>
        <w:t xml:space="preserve">│  │энергосистеме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w:t>
      </w:r>
      <w:r>
        <w:rPr>
          <w:rFonts w:ascii="Arial" w:cs="Arial" w:eastAsia="Arial" w:hAnsi="Arial"/>
          <w:sz w:val="24"/>
          <w:szCs w:val="24"/>
        </w:rPr>
        <w:t xml:space="preserve">
 к Среднесрочной тарифной политике Кыргызской Республики на электрическую энергию 
 на 2008-2012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повышения тарифов на электроэнергию для конечных потребителей и результирующая величина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│№│Составляющая тарифа и│ Ед. изм. │      Дата повышения тарифа       │</w:t>
      </w:r>
    </w:p>
    <w:p>
      <w:pPr>
        <w:spacing w:after="120"/>
        <w:jc w:val="both"/>
      </w:pPr>
      <w:r>
        <w:rPr>
          <w:rFonts w:ascii="Arial" w:cs="Arial" w:eastAsia="Arial" w:hAnsi="Arial"/>
          <w:sz w:val="24"/>
          <w:szCs w:val="24"/>
        </w:rPr>
        <w:t xml:space="preserve">│ │ группа потребителей │          ├──────┬──────┬──────┬──────┬──────┤</w:t>
      </w:r>
    </w:p>
    <w:p>
      <w:pPr>
        <w:spacing w:after="120"/>
        <w:jc w:val="both"/>
      </w:pPr>
      <w:r>
        <w:rPr>
          <w:rFonts w:ascii="Arial" w:cs="Arial" w:eastAsia="Arial" w:hAnsi="Arial"/>
          <w:sz w:val="24"/>
          <w:szCs w:val="24"/>
        </w:rPr>
        <w:t xml:space="preserve">│ │                     │          │01.07.│01.04.│01.04.│01.04.│01.04.│</w:t>
      </w:r>
    </w:p>
    <w:p>
      <w:pPr>
        <w:spacing w:after="120"/>
        <w:jc w:val="both"/>
      </w:pPr>
      <w:r>
        <w:rPr>
          <w:rFonts w:ascii="Arial" w:cs="Arial" w:eastAsia="Arial" w:hAnsi="Arial"/>
          <w:sz w:val="24"/>
          <w:szCs w:val="24"/>
        </w:rPr>
        <w:t xml:space="preserve">│ │                     │          │ 2008 │ 2009 │ 2010 │ 2011 │ 2012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│ОПЛАТА ЗА ПОТРЕБЛЕНИЕ│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│1│Население            │т/кВт.ч   │  70  │  84  │ 100  │ 120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12,9│  20  │  19  │  20  │  20,8│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│2│Промышленность       │т/кВт.ч   │  96  │ 116  │ 128  │ 144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20  │  20,8│  10,3│  12,5│  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│3│Бюджетные потребители│т/кВт.ч   │ 100  │ 120  │ 145  │ 174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25  │  20  │  20,8│  20  │  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│4│Сельское хозяйство   │т/кВт.ч   │  96  │ 110  │ 126  │ 145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20  │  14,6│  14,5│  15,1│  15,2│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│5│Прочие потребители   │т/кВт.ч   │ 102  │ 122  │ 150  │ 180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27,5│  19,6│  23  │  20  │  16,7│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│6│Насосные станции     │т/кВт.ч   │  68  │  82  │  95  │ 115  │ 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13,3│  20,6│  15,9│  21,1│  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│ОПЛАТА ЗА МОЩНОСТЬ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│1│Население с 3-х      │сом/кВт   │  30  │  30  │  30  │  30  │  30  │</w:t>
      </w:r>
    </w:p>
    <w:p>
      <w:pPr>
        <w:spacing w:after="120"/>
        <w:jc w:val="both"/>
      </w:pPr>
      <w:r>
        <w:rPr>
          <w:rFonts w:ascii="Arial" w:cs="Arial" w:eastAsia="Arial" w:hAnsi="Arial"/>
          <w:sz w:val="24"/>
          <w:szCs w:val="24"/>
        </w:rPr>
        <w:t xml:space="preserve">│ │фазным вводом в      │          │      │      │      │      │      │</w:t>
      </w:r>
    </w:p>
    <w:p>
      <w:pPr>
        <w:spacing w:after="120"/>
        <w:jc w:val="both"/>
      </w:pPr>
      <w:r>
        <w:rPr>
          <w:rFonts w:ascii="Arial" w:cs="Arial" w:eastAsia="Arial" w:hAnsi="Arial"/>
          <w:sz w:val="24"/>
          <w:szCs w:val="24"/>
        </w:rPr>
        <w:t xml:space="preserve">│ │отопительный период  │          │      │      │      │      │      │</w:t>
      </w:r>
    </w:p>
    <w:p>
      <w:pPr>
        <w:spacing w:after="120"/>
        <w:jc w:val="both"/>
      </w:pPr>
      <w:r>
        <w:rPr>
          <w:rFonts w:ascii="Arial" w:cs="Arial" w:eastAsia="Arial" w:hAnsi="Arial"/>
          <w:sz w:val="24"/>
          <w:szCs w:val="24"/>
        </w:rPr>
        <w:t xml:space="preserve">│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│2│Промышленность за    │сом/кВт   │  45  │  45  │  45  │  45  │  45  │</w:t>
      </w:r>
    </w:p>
    <w:p>
      <w:pPr>
        <w:spacing w:after="120"/>
        <w:jc w:val="both"/>
      </w:pPr>
      <w:r>
        <w:rPr>
          <w:rFonts w:ascii="Arial" w:cs="Arial" w:eastAsia="Arial" w:hAnsi="Arial"/>
          <w:sz w:val="24"/>
          <w:szCs w:val="24"/>
        </w:rPr>
        <w:t xml:space="preserve">│ │заявленную мощность  │          │      │      │      │      │      │</w:t>
      </w:r>
    </w:p>
    <w:p>
      <w:pPr>
        <w:spacing w:after="120"/>
        <w:jc w:val="both"/>
      </w:pPr>
      <w:r>
        <w:rPr>
          <w:rFonts w:ascii="Arial" w:cs="Arial" w:eastAsia="Arial" w:hAnsi="Arial"/>
          <w:sz w:val="24"/>
          <w:szCs w:val="24"/>
        </w:rPr>
        <w:t xml:space="preserve">│ │в течение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│3│(Исключен в соответствии с постановлением Правительства КР         │</w:t>
      </w:r>
    </w:p>
    <w:p>
      <w:pPr>
        <w:spacing w:after="120"/>
        <w:jc w:val="both"/>
      </w:pPr>
      <w:r>
        <w:rPr>
          <w:rFonts w:ascii="Arial" w:cs="Arial" w:eastAsia="Arial" w:hAnsi="Arial"/>
          <w:sz w:val="24"/>
          <w:szCs w:val="24"/>
        </w:rPr>
        <w:t xml:space="preserve">│ │от 16 февраля 2009 года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│4│Сельское хозяйство с │сом/кВт   │  45  │  45  │  45  │  45  │  45  │</w:t>
      </w:r>
    </w:p>
    <w:p>
      <w:pPr>
        <w:spacing w:after="120"/>
        <w:jc w:val="both"/>
      </w:pPr>
      <w:r>
        <w:rPr>
          <w:rFonts w:ascii="Arial" w:cs="Arial" w:eastAsia="Arial" w:hAnsi="Arial"/>
          <w:sz w:val="24"/>
          <w:szCs w:val="24"/>
        </w:rPr>
        <w:t xml:space="preserve">│ │3-х фазным вводом в  │          │      │      │      │      │      │</w:t>
      </w:r>
    </w:p>
    <w:p>
      <w:pPr>
        <w:spacing w:after="120"/>
        <w:jc w:val="both"/>
      </w:pPr>
      <w:r>
        <w:rPr>
          <w:rFonts w:ascii="Arial" w:cs="Arial" w:eastAsia="Arial" w:hAnsi="Arial"/>
          <w:sz w:val="24"/>
          <w:szCs w:val="24"/>
        </w:rPr>
        <w:t xml:space="preserve">│ │течение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│5│Прочие потребители с │сом/кВт   │  50  │  50  │  50  │  50  │  50  │</w:t>
      </w:r>
    </w:p>
    <w:p>
      <w:pPr>
        <w:spacing w:after="120"/>
        <w:jc w:val="both"/>
      </w:pPr>
      <w:r>
        <w:rPr>
          <w:rFonts w:ascii="Arial" w:cs="Arial" w:eastAsia="Arial" w:hAnsi="Arial"/>
          <w:sz w:val="24"/>
          <w:szCs w:val="24"/>
        </w:rPr>
        <w:t xml:space="preserve">│ │3-х фазным вводом в  │          │      │      │      │      │      │</w:t>
      </w:r>
    </w:p>
    <w:p>
      <w:pPr>
        <w:spacing w:after="120"/>
        <w:jc w:val="both"/>
      </w:pPr>
      <w:r>
        <w:rPr>
          <w:rFonts w:ascii="Arial" w:cs="Arial" w:eastAsia="Arial" w:hAnsi="Arial"/>
          <w:sz w:val="24"/>
          <w:szCs w:val="24"/>
        </w:rPr>
        <w:t xml:space="preserve">│ │течение года (кроме  │          │      │      │      │      │      │</w:t>
      </w:r>
    </w:p>
    <w:p>
      <w:pPr>
        <w:spacing w:after="120"/>
        <w:jc w:val="both"/>
      </w:pPr>
      <w:r>
        <w:rPr>
          <w:rFonts w:ascii="Arial" w:cs="Arial" w:eastAsia="Arial" w:hAnsi="Arial"/>
          <w:sz w:val="24"/>
          <w:szCs w:val="24"/>
        </w:rPr>
        <w:t xml:space="preserve">│ │бань и саун)(***)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│6│Бани и сауны         │сом/кВт   │  60  │  60  │  60  │  60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оплата вводится в отопительный период для всех бытовых потребителей с 3-х фазным вводом с 1-го кВт разрешенной мощности;</w:t>
      </w:r>
    </w:p>
    <w:p>
      <w:pPr>
        <w:spacing w:after="120"/>
        <w:jc w:val="both"/>
      </w:pPr>
      <w:r>
        <w:rPr>
          <w:rFonts w:ascii="Arial" w:cs="Arial" w:eastAsia="Arial" w:hAnsi="Arial"/>
          <w:sz w:val="24"/>
          <w:szCs w:val="24"/>
        </w:rPr>
        <w:t xml:space="preserve">(**) - оплата вводится в течение всего года для всех промышленных потребителей не зависимо от величины заявленной мощности с 1-го кВт заявленной мощности;</w:t>
      </w:r>
    </w:p>
    <w:p>
      <w:pPr>
        <w:spacing w:after="120"/>
        <w:jc w:val="both"/>
      </w:pPr>
      <w:r>
        <w:rPr>
          <w:rFonts w:ascii="Arial" w:cs="Arial" w:eastAsia="Arial" w:hAnsi="Arial"/>
          <w:sz w:val="24"/>
          <w:szCs w:val="24"/>
        </w:rPr>
        <w:t xml:space="preserve">(***) - оплата вводится в течение всего года для всех потребителей с 3-х фазным вводом с 1-го кВт разрешенной мощности.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 2 к Среднесрочной тарифной политике Кыргызской Республики на электрическую энергию на 2008-2012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Методология расчета квазифискального дефицита в электроэнергетическом секторе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общем виде формула для расчета КФД в денежном выражении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KEL + KTL + KCC,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KEL - компонент (составляющая) КФД, связанный со сверхнормативными</w:t>
      </w:r>
    </w:p>
    <w:p>
      <w:pPr>
        <w:spacing w:after="120"/>
        <w:jc w:val="both"/>
      </w:pPr>
      <w:r>
        <w:rPr>
          <w:rFonts w:ascii="Arial" w:cs="Arial" w:eastAsia="Arial" w:hAnsi="Arial"/>
          <w:sz w:val="24"/>
          <w:szCs w:val="24"/>
        </w:rPr>
        <w:t xml:space="preserve">системными потерями электроэнергии, выраженными в денежном</w:t>
      </w:r>
    </w:p>
    <w:p>
      <w:pPr>
        <w:spacing w:after="120"/>
        <w:jc w:val="both"/>
      </w:pPr>
      <w:r>
        <w:rPr>
          <w:rFonts w:ascii="Arial" w:cs="Arial" w:eastAsia="Arial" w:hAnsi="Arial"/>
          <w:sz w:val="24"/>
          <w:szCs w:val="24"/>
        </w:rPr>
        <w:t xml:space="preserve">выражении;</w:t>
      </w:r>
    </w:p>
    <w:p>
      <w:pPr>
        <w:spacing w:after="120"/>
        <w:jc w:val="both"/>
      </w:pPr>
      <w:r>
        <w:rPr>
          <w:rFonts w:ascii="Arial" w:cs="Arial" w:eastAsia="Arial" w:hAnsi="Arial"/>
          <w:sz w:val="24"/>
          <w:szCs w:val="24"/>
        </w:rPr>
        <w:t xml:space="preserve">KTL - компонент (составляющая) КФД, связанный с низкими тарифами</w:t>
      </w:r>
    </w:p>
    <w:p>
      <w:pPr>
        <w:spacing w:after="120"/>
        <w:jc w:val="both"/>
      </w:pPr>
      <w:r>
        <w:rPr>
          <w:rFonts w:ascii="Arial" w:cs="Arial" w:eastAsia="Arial" w:hAnsi="Arial"/>
          <w:sz w:val="24"/>
          <w:szCs w:val="24"/>
        </w:rPr>
        <w:t xml:space="preserve">на электроэнергию в денежном выражении;</w:t>
      </w:r>
    </w:p>
    <w:p>
      <w:pPr>
        <w:spacing w:after="120"/>
        <w:jc w:val="both"/>
      </w:pPr>
      <w:r>
        <w:rPr>
          <w:rFonts w:ascii="Arial" w:cs="Arial" w:eastAsia="Arial" w:hAnsi="Arial"/>
          <w:sz w:val="24"/>
          <w:szCs w:val="24"/>
        </w:rPr>
        <w:t xml:space="preserve">KCC - компонент (составляющая) КФД, связанный с не полным сбором</w:t>
      </w:r>
    </w:p>
    <w:p>
      <w:pPr>
        <w:spacing w:after="120"/>
        <w:jc w:val="both"/>
      </w:pPr>
      <w:r>
        <w:rPr>
          <w:rFonts w:ascii="Arial" w:cs="Arial" w:eastAsia="Arial" w:hAnsi="Arial"/>
          <w:sz w:val="24"/>
          <w:szCs w:val="24"/>
        </w:rPr>
        <w:t xml:space="preserve">денежных средств наличными за потребленную электроэнергию в</w:t>
      </w:r>
    </w:p>
    <w:p>
      <w:pPr>
        <w:spacing w:after="120"/>
        <w:jc w:val="both"/>
      </w:pPr>
      <w:r>
        <w:rPr>
          <w:rFonts w:ascii="Arial" w:cs="Arial" w:eastAsia="Arial" w:hAnsi="Arial"/>
          <w:sz w:val="24"/>
          <w:szCs w:val="24"/>
        </w:rPr>
        <w:t xml:space="preserve">денежном выражении.</w:t>
      </w:r>
    </w:p>
    <w:p>
      <w:pPr>
        <w:spacing w:after="120"/>
        <w:jc w:val="both"/>
      </w:pPr>
      <w:r>
        <w:rPr>
          <w:rFonts w:ascii="Arial" w:cs="Arial" w:eastAsia="Arial" w:hAnsi="Arial"/>
          <w:sz w:val="24"/>
          <w:szCs w:val="24"/>
        </w:rPr>
        <w:t xml:space="preserve">При этом компонент КФД, связанный со сверхнормативными потерями KEL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KEL = GDM * CRT * (LT - LR) / 100,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GDM - количество электроэнергии, поставленной на внутренний рынок;</w:t>
      </w:r>
    </w:p>
    <w:p>
      <w:pPr>
        <w:spacing w:after="120"/>
        <w:jc w:val="both"/>
      </w:pPr>
      <w:r>
        <w:rPr>
          <w:rFonts w:ascii="Arial" w:cs="Arial" w:eastAsia="Arial" w:hAnsi="Arial"/>
          <w:sz w:val="24"/>
          <w:szCs w:val="24"/>
        </w:rPr>
        <w:t xml:space="preserve">CRT - тариф, покрывающий затраты (ТПЗ) на производство, передачу и</w:t>
      </w:r>
    </w:p>
    <w:p>
      <w:pPr>
        <w:spacing w:after="120"/>
        <w:jc w:val="both"/>
      </w:pPr>
      <w:r>
        <w:rPr>
          <w:rFonts w:ascii="Arial" w:cs="Arial" w:eastAsia="Arial" w:hAnsi="Arial"/>
          <w:sz w:val="24"/>
          <w:szCs w:val="24"/>
        </w:rPr>
        <w:t xml:space="preserve">распределение электроэнергии;</w:t>
      </w:r>
    </w:p>
    <w:p>
      <w:pPr>
        <w:spacing w:after="120"/>
        <w:jc w:val="both"/>
      </w:pPr>
      <w:r>
        <w:rPr>
          <w:rFonts w:ascii="Arial" w:cs="Arial" w:eastAsia="Arial" w:hAnsi="Arial"/>
          <w:sz w:val="24"/>
          <w:szCs w:val="24"/>
        </w:rPr>
        <w:t xml:space="preserve">LT - процент общих фактических потерь электроэнергии на внутрен-</w:t>
      </w:r>
    </w:p>
    <w:p>
      <w:pPr>
        <w:spacing w:after="120"/>
        <w:jc w:val="both"/>
      </w:pPr>
      <w:r>
        <w:rPr>
          <w:rFonts w:ascii="Arial" w:cs="Arial" w:eastAsia="Arial" w:hAnsi="Arial"/>
          <w:sz w:val="24"/>
          <w:szCs w:val="24"/>
        </w:rPr>
        <w:t xml:space="preserve">нем рынке;</w:t>
      </w:r>
    </w:p>
    <w:p>
      <w:pPr>
        <w:spacing w:after="120"/>
        <w:jc w:val="both"/>
      </w:pPr>
      <w:r>
        <w:rPr>
          <w:rFonts w:ascii="Arial" w:cs="Arial" w:eastAsia="Arial" w:hAnsi="Arial"/>
          <w:sz w:val="24"/>
          <w:szCs w:val="24"/>
        </w:rPr>
        <w:t xml:space="preserve">LR - процент нормативных потерь электроэнергии на внутреннем рын-</w:t>
      </w:r>
    </w:p>
    <w:p>
      <w:pPr>
        <w:spacing w:after="120"/>
        <w:jc w:val="both"/>
      </w:pPr>
      <w:r>
        <w:rPr>
          <w:rFonts w:ascii="Arial" w:cs="Arial" w:eastAsia="Arial" w:hAnsi="Arial"/>
          <w:sz w:val="24"/>
          <w:szCs w:val="24"/>
        </w:rPr>
        <w:t xml:space="preserve">ке.</w:t>
      </w:r>
    </w:p>
    <w:p>
      <w:pPr>
        <w:spacing w:after="120"/>
        <w:jc w:val="both"/>
      </w:pPr>
      <w:r>
        <w:rPr>
          <w:rFonts w:ascii="Arial" w:cs="Arial" w:eastAsia="Arial" w:hAnsi="Arial"/>
          <w:sz w:val="24"/>
          <w:szCs w:val="24"/>
        </w:rPr>
        <w:t xml:space="preserve">Количество электроэнергии, поставленной на внутренний рынок GDM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GDM = GSO - ET + IT,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GSO - суммарный отпуск электроэнергии с шин электрических станции;</w:t>
      </w:r>
    </w:p>
    <w:p>
      <w:pPr>
        <w:spacing w:after="120"/>
        <w:jc w:val="both"/>
      </w:pPr>
      <w:r>
        <w:rPr>
          <w:rFonts w:ascii="Arial" w:cs="Arial" w:eastAsia="Arial" w:hAnsi="Arial"/>
          <w:sz w:val="24"/>
          <w:szCs w:val="24"/>
        </w:rPr>
        <w:t xml:space="preserve">ET - суммарный экспорт электроэнергии;</w:t>
      </w:r>
    </w:p>
    <w:p>
      <w:pPr>
        <w:spacing w:after="120"/>
        <w:jc w:val="both"/>
      </w:pPr>
      <w:r>
        <w:rPr>
          <w:rFonts w:ascii="Arial" w:cs="Arial" w:eastAsia="Arial" w:hAnsi="Arial"/>
          <w:sz w:val="24"/>
          <w:szCs w:val="24"/>
        </w:rPr>
        <w:t xml:space="preserve">IT - суммарный импорт электроэнергии.</w:t>
      </w:r>
    </w:p>
    <w:p>
      <w:pPr>
        <w:spacing w:after="120"/>
        <w:jc w:val="both"/>
      </w:pPr>
      <w:r>
        <w:rPr>
          <w:rFonts w:ascii="Arial" w:cs="Arial" w:eastAsia="Arial" w:hAnsi="Arial"/>
          <w:sz w:val="24"/>
          <w:szCs w:val="24"/>
        </w:rPr>
        <w:t xml:space="preserve">Величина общих фактических потерь электроэнергии на внутреннем рынке LT в процентах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 = GTL / GDM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GTL - общие фактические потери электроэнергии на внутреннем рынке</w:t>
      </w:r>
    </w:p>
    <w:p>
      <w:pPr>
        <w:spacing w:after="120"/>
        <w:jc w:val="both"/>
      </w:pPr>
      <w:r>
        <w:rPr>
          <w:rFonts w:ascii="Arial" w:cs="Arial" w:eastAsia="Arial" w:hAnsi="Arial"/>
          <w:sz w:val="24"/>
          <w:szCs w:val="24"/>
        </w:rPr>
        <w:t xml:space="preserve">в кВт.ч.</w:t>
      </w:r>
    </w:p>
    <w:p>
      <w:pPr>
        <w:spacing w:after="120"/>
        <w:jc w:val="both"/>
      </w:pPr>
      <w:r>
        <w:rPr>
          <w:rFonts w:ascii="Arial" w:cs="Arial" w:eastAsia="Arial" w:hAnsi="Arial"/>
          <w:sz w:val="24"/>
          <w:szCs w:val="24"/>
        </w:rPr>
        <w:t xml:space="preserve">Фактические потери электроэнергии на внутреннем рынке GTL в кВт.ч рассчитываются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GTL = GDM - GB,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GB - полезный отпуск электроэнергии на внутреннем рынке в кВт.ч,</w:t>
      </w:r>
    </w:p>
    <w:p>
      <w:pPr>
        <w:spacing w:after="120"/>
        <w:jc w:val="both"/>
      </w:pPr>
      <w:r>
        <w:rPr>
          <w:rFonts w:ascii="Arial" w:cs="Arial" w:eastAsia="Arial" w:hAnsi="Arial"/>
          <w:sz w:val="24"/>
          <w:szCs w:val="24"/>
        </w:rPr>
        <w:t xml:space="preserve">который определяется как сумма полезного отпуска потребителям</w:t>
      </w:r>
    </w:p>
    <w:p>
      <w:pPr>
        <w:spacing w:after="120"/>
        <w:jc w:val="both"/>
      </w:pPr>
      <w:r>
        <w:rPr>
          <w:rFonts w:ascii="Arial" w:cs="Arial" w:eastAsia="Arial" w:hAnsi="Arial"/>
          <w:sz w:val="24"/>
          <w:szCs w:val="24"/>
        </w:rPr>
        <w:t xml:space="preserve">от распределительных компаний (РЭКов), от ОАО "Электрические</w:t>
      </w:r>
    </w:p>
    <w:p>
      <w:pPr>
        <w:spacing w:after="120"/>
        <w:jc w:val="both"/>
      </w:pPr>
      <w:r>
        <w:rPr>
          <w:rFonts w:ascii="Arial" w:cs="Arial" w:eastAsia="Arial" w:hAnsi="Arial"/>
          <w:sz w:val="24"/>
          <w:szCs w:val="24"/>
        </w:rPr>
        <w:t xml:space="preserve">станции" и от ОАО "Национальная электрическая сеть Кыргызста-</w:t>
      </w:r>
    </w:p>
    <w:p>
      <w:pPr>
        <w:spacing w:after="120"/>
        <w:jc w:val="both"/>
      </w:pPr>
      <w:r>
        <w:rPr>
          <w:rFonts w:ascii="Arial" w:cs="Arial" w:eastAsia="Arial" w:hAnsi="Arial"/>
          <w:sz w:val="24"/>
          <w:szCs w:val="24"/>
        </w:rPr>
        <w:t xml:space="preserve">на".</w:t>
      </w:r>
    </w:p>
    <w:p>
      <w:pPr>
        <w:spacing w:after="120"/>
        <w:jc w:val="both"/>
      </w:pPr>
      <w:r>
        <w:rPr>
          <w:rFonts w:ascii="Arial" w:cs="Arial" w:eastAsia="Arial" w:hAnsi="Arial"/>
          <w:sz w:val="24"/>
          <w:szCs w:val="24"/>
        </w:rPr>
        <w:t xml:space="preserve">Согласованные нормативные потери электроэнергии на внутреннем рынке LR = 13% (технические потери).</w:t>
      </w:r>
    </w:p>
    <w:p>
      <w:pPr>
        <w:spacing w:after="120"/>
        <w:jc w:val="both"/>
      </w:pPr>
      <w:r>
        <w:rPr>
          <w:rFonts w:ascii="Arial" w:cs="Arial" w:eastAsia="Arial" w:hAnsi="Arial"/>
          <w:sz w:val="24"/>
          <w:szCs w:val="24"/>
        </w:rPr>
        <w:t xml:space="preserve">Компонент КФД, связанный с низкими тарифами на электроэнергию KTL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KTL = GB * (CRT - TB),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TB - средний тариф по выписанным счетам (средневыставленный тариф</w:t>
      </w:r>
    </w:p>
    <w:p>
      <w:pPr>
        <w:spacing w:after="120"/>
        <w:jc w:val="both"/>
      </w:pPr>
      <w:r>
        <w:rPr>
          <w:rFonts w:ascii="Arial" w:cs="Arial" w:eastAsia="Arial" w:hAnsi="Arial"/>
          <w:sz w:val="24"/>
          <w:szCs w:val="24"/>
        </w:rPr>
        <w:t xml:space="preserve">по системе).</w:t>
      </w:r>
    </w:p>
    <w:p>
      <w:pPr>
        <w:spacing w:after="120"/>
        <w:jc w:val="both"/>
      </w:pPr>
      <w:r>
        <w:rPr>
          <w:rFonts w:ascii="Arial" w:cs="Arial" w:eastAsia="Arial" w:hAnsi="Arial"/>
          <w:sz w:val="24"/>
          <w:szCs w:val="24"/>
        </w:rPr>
        <w:t xml:space="preserve">Тариф по выписанным счетам TB определяется как результат деления товарной продукции, отпущенной на внутреннем рынке, на полезный отпуск электроэнергии на внутреннем рынке.</w:t>
      </w:r>
    </w:p>
    <w:p>
      <w:pPr>
        <w:spacing w:after="120"/>
        <w:jc w:val="both"/>
      </w:pPr>
      <w:r>
        <w:rPr>
          <w:rFonts w:ascii="Arial" w:cs="Arial" w:eastAsia="Arial" w:hAnsi="Arial"/>
          <w:sz w:val="24"/>
          <w:szCs w:val="24"/>
        </w:rPr>
        <w:t xml:space="preserve">Компонент КФД, связанный с неудовлетворительным сбором денежных средств наличными за полезно отпущенную электроэнергию на внутреннем рынке KCC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KCC = GB * TB * (100% - CA% - CR%) / 100,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CA - фактический сбор наличными на внутреннем рынке в %;</w:t>
      </w:r>
    </w:p>
    <w:p>
      <w:pPr>
        <w:spacing w:after="120"/>
        <w:jc w:val="both"/>
      </w:pPr>
      <w:r>
        <w:rPr>
          <w:rFonts w:ascii="Arial" w:cs="Arial" w:eastAsia="Arial" w:hAnsi="Arial"/>
          <w:sz w:val="24"/>
          <w:szCs w:val="24"/>
        </w:rPr>
        <w:t xml:space="preserve">CR - нормативный недобор оплаты наличными на внутреннем рынке в %.</w:t>
      </w:r>
    </w:p>
    <w:p>
      <w:pPr>
        <w:spacing w:after="120"/>
        <w:jc w:val="both"/>
      </w:pPr>
      <w:r>
        <w:rPr>
          <w:rFonts w:ascii="Arial" w:cs="Arial" w:eastAsia="Arial" w:hAnsi="Arial"/>
          <w:sz w:val="24"/>
          <w:szCs w:val="24"/>
        </w:rPr>
        <w:t xml:space="preserve">Согласованный процент недобора оплаты наличными на внутреннем рынке CR = 2% (коммерческие потери).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vnbma2yqtfix0rlyc_jv">
      <w:r>
        <w:rPr>
          <w:rFonts w:ascii="Arial" w:cs="Arial" w:eastAsia="Arial" w:hAnsi="Arial"/>
          <w:color w:val="132D3F"/>
          <w:sz w:val="16"/>
          <w:szCs w:val="16"/>
          <w:u w:val="single"/>
        </w:rPr>
        <w:t xml:space="preserve">dalil.kg/document/59015</w:t>
      </w:r>
    </w:hyperlink>
  </w:p>
  <w:p>
    <w:pPr>
      <w:spacing w:after="0" w:before="40"/>
      <w:jc w:val="center"/>
    </w:pPr>
    <w:hyperlink w:history="1" r:id="rId2dgiyoodjxr9wjz3zqs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wdqn3goxqd94kkbripm0" Type="http://schemas.openxmlformats.org/officeDocument/2006/relationships/hyperlink" Target="https://dalil.kg/document/90338" TargetMode="External"/><Relationship Id="rIdqyos8_deqnp11ieoqkwxn" Type="http://schemas.openxmlformats.org/officeDocument/2006/relationships/hyperlink" Target="https://dalil.kg/document/70072" TargetMode="External"/><Relationship Id="rIdadgeul6ocyqimwfthw79s" Type="http://schemas.openxmlformats.org/officeDocument/2006/relationships/hyperlink" Target="https://dalil.kg/document/59015" TargetMode="External"/><Relationship Id="rIdxwwgnes6eqdaqql1sgyfz" Type="http://schemas.openxmlformats.org/officeDocument/2006/relationships/hyperlink" Target="https://dalil.kg/document/70072" TargetMode="External"/><Relationship Id="rIdnpievcknvrotjwshnki2d" Type="http://schemas.openxmlformats.org/officeDocument/2006/relationships/hyperlink" Target="https://dalil.kg/document/59015#p1" TargetMode="External"/><Relationship Id="rIdgc0w5ez-xrfeubrwoqyff" Type="http://schemas.openxmlformats.org/officeDocument/2006/relationships/hyperlink" Target="https://dalil.kg/document/59015#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vnbma2yqtfix0rlyc_jv" Type="http://schemas.openxmlformats.org/officeDocument/2006/relationships/hyperlink" Target="https://dalil.kg/document/59015" TargetMode="External"/><Relationship Id="rId2dgiyoodjxr9wjz3zqs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2026-09-25T04:36:02.146Z</dcterms:created>
  <dcterms:modified xsi:type="dcterms:W3CDTF">2026-09-25T04:36:02.146Z</dcterms:modified>
</cp:coreProperties>
</file>

<file path=docProps/custom.xml><?xml version="1.0" encoding="utf-8"?>
<Properties xmlns="http://schemas.openxmlformats.org/officeDocument/2006/custom-properties" xmlns:vt="http://schemas.openxmlformats.org/officeDocument/2006/docPropsVTypes"/>
</file>