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 </w:t>
      </w:r>
      <w:hyperlink w:history="1" r:id="rIddur1h3g47-sds7zx44vny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25 марта 2022 года № 166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14 мая 2008 года № 223            ПОСТАНОВЛЕНИЕ ПРАВИТЕЛЬСТВА КЫРГЫЗСКОЙ РЕСПУБЛИКИ            О заключении Правительства Кыргызской Республики          на проект Закона Кыргызской Республики "Об игорной                 деятельности в Кыргызской Республике"      В соответствии  с  пунктом 3 статьи 65</w:t>
      </w:r>
    </w:p>
    <w:p>
      <w:r>
        <w:rPr>
          <w:rFonts w:ascii="Arial" w:cs="Arial" w:eastAsia="Arial" w:hAnsi="Arial"/>
          <w:sz w:val="24"/>
          <w:szCs w:val="24"/>
        </w:rPr>
        <w:t xml:space="preserve">Конституции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Рес-публики и статьей 34 конституционного Закона Кыргызской  Республики  "ОПравительстве Кыргызской Республики" Правительство Кыргызской Республи-ки постановляет:     1. Одобрить  прилагаемое</w:t>
      </w:r>
    </w:p>
    <w:p>
      <w:r>
        <w:rPr>
          <w:rFonts w:ascii="Arial" w:cs="Arial" w:eastAsia="Arial" w:hAnsi="Arial"/>
          <w:sz w:val="24"/>
          <w:szCs w:val="24"/>
        </w:rPr>
        <w:t xml:space="preserve">заключение</w:t>
      </w:r>
    </w:p>
    <w:p>
      <w:r>
        <w:rPr>
          <w:rFonts w:ascii="Arial" w:cs="Arial" w:eastAsia="Arial" w:hAnsi="Arial"/>
          <w:sz w:val="24"/>
          <w:szCs w:val="24"/>
        </w:rPr>
        <w:t xml:space="preserve">на  проект Закона КыргызскойРеспублики "Об игорной деятельности в Кыргызской Республике", иницииро-ванный депутатом Жогорку Кенеша Кыргызской Республики Кадыралиевым С.К.     2. Направить настоящее постановление в  Жогорку  Кенеш  КыргызскойРеспублики.      Премьер-министр                                     И.Чудинов</w:t>
      </w:r>
    </w:p>
    <w:p>
      <w:r>
        <w:rPr>
          <w:rFonts w:ascii="Arial" w:cs="Arial" w:eastAsia="Arial" w:hAnsi="Arial"/>
          <w:sz w:val="24"/>
          <w:szCs w:val="24"/>
        </w:rPr>
        <w:t xml:space="preserve">Приложение                                          к постановлению Правительства                                              Кыргызской Республики                                            от 14 мая 2008 года № 223                               ЗАКЛЮЧЕНИЕ             Правительства Кыргызской Республики на проект               Закона Кыргызской Республики "Об игорной                 деятельности в Кыргызской Республике"      Правительство Кыргызской Республики, рассмотрев проект Закона Кыр-гызской  Республики  "Об игорной деятельности в Кыргызской Республике",инициированный депутатом Жогорку Кенеша Кыргызской Республики Кадырали-евым С.К.,  и руководствуясь пунктом 3 статьи 65</w:t>
      </w:r>
    </w:p>
    <w:p>
      <w:r>
        <w:rPr>
          <w:rFonts w:ascii="Arial" w:cs="Arial" w:eastAsia="Arial" w:hAnsi="Arial"/>
          <w:sz w:val="24"/>
          <w:szCs w:val="24"/>
        </w:rPr>
        <w:t xml:space="preserve">Конституции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КыргызскойРеспублики и статьей 34 конституционного Закона  Кыргызской  Республики"О Правительстве Кыргызской Республики", считает возможным его принятиес учетом следующих замечаний.     Пункт 4 статьи 7 дополнить абзацем следующего содержания:     "- в случаях и порядке,  предусмотренных настоящим Законом, приос-танавливает,  возобновляет, отзывает и аннулирует действие выданных ли-цензий;".     Подпункты "а)", "б)" пункта 3 статьи 8 дополнить абзацем следующе-го содержания:     "- копии документов,  подтверждающих присвоение идентификационногокода налогоплательщика и плательщика страховых взносов;".     Абзац второй пункта 1 статьи 11 после слова "нарушений," дополнитьсловами "в том числе,  связанных с неуплатой либо несвоевременной упла-той соответствующих налогов,".     В статье 13:     - пункт 5 считать пунктом 3;     - пункты 3 и 4 считать пунктами 4 и 5 соответственно;     - в пункте 3 слово "Казино" заменить словом "Игорное заведение".     Статью 16 изложить в следующей редакции:     "Считать утратившими силу:     -</w:t>
      </w:r>
    </w:p>
    <w:p>
      <w:r>
        <w:rPr>
          <w:rFonts w:ascii="Arial" w:cs="Arial" w:eastAsia="Arial" w:hAnsi="Arial"/>
          <w:sz w:val="24"/>
          <w:szCs w:val="24"/>
        </w:rPr>
        <w:t xml:space="preserve">Закон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"Об игорной деятельности в  Кыргызс-кой Республике" от 26 июля 2004 года № 95;     -</w:t>
      </w:r>
    </w:p>
    <w:p>
      <w:r>
        <w:rPr>
          <w:rFonts w:ascii="Arial" w:cs="Arial" w:eastAsia="Arial" w:hAnsi="Arial"/>
          <w:sz w:val="24"/>
          <w:szCs w:val="24"/>
        </w:rPr>
        <w:t xml:space="preserve">Закон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 внесении изменений в</w:t>
      </w:r>
    </w:p>
    <w:p>
      <w:r>
        <w:rPr>
          <w:rFonts w:ascii="Arial" w:cs="Arial" w:eastAsia="Arial" w:hAnsi="Arial"/>
          <w:sz w:val="24"/>
          <w:szCs w:val="24"/>
        </w:rPr>
        <w:t xml:space="preserve">Закон</w:t>
      </w:r>
    </w:p>
    <w:p>
      <w:r>
        <w:rPr>
          <w:rFonts w:ascii="Arial" w:cs="Arial" w:eastAsia="Arial" w:hAnsi="Arial"/>
          <w:sz w:val="24"/>
          <w:szCs w:val="24"/>
        </w:rPr>
        <w:t xml:space="preserve">Кыр-гызской Республики "Об игорной деятельности в Кыргызской Республике" от28 декабря 2006 года № 219.".     Пункт 1 статьи 17 после слова "силу" дополнить словами "по истече-нии трех месяцев".     Кроме того,  статьей 13 законопроекта установлены квоты в населен-ных пунктах, находящихся на территории отдельных административно-терри-ториальных единиц Кыргызской 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Решением Конституционного суда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 Республики  от  12  мая2006 года пункты 4 и 5 статьи 11</w:t>
      </w:r>
    </w:p>
    <w:p>
      <w:r>
        <w:rPr>
          <w:rFonts w:ascii="Arial" w:cs="Arial" w:eastAsia="Arial" w:hAnsi="Arial"/>
          <w:sz w:val="24"/>
          <w:szCs w:val="24"/>
        </w:rPr>
        <w:t xml:space="preserve">Закона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"Об игор-ной деятельности в Кыргызской Республике", которыми определялись анало-гичные квоты, были признаны неконституционными и противоречащими пункту3 статьи 15,  пункту 1 статьи 21 и пункту 1 статьи 22</w:t>
      </w:r>
    </w:p>
    <w:p>
      <w:r>
        <w:rPr>
          <w:rFonts w:ascii="Arial" w:cs="Arial" w:eastAsia="Arial" w:hAnsi="Arial"/>
          <w:sz w:val="24"/>
          <w:szCs w:val="24"/>
        </w:rPr>
        <w:t xml:space="preserve">Конституции</w:t>
      </w:r>
    </w:p>
    <w:p>
      <w:r>
        <w:rPr>
          <w:rFonts w:ascii="Arial" w:cs="Arial" w:eastAsia="Arial" w:hAnsi="Arial"/>
          <w:sz w:val="24"/>
          <w:szCs w:val="24"/>
        </w:rPr>
        <w:t xml:space="preserve">Кыр-гызской Республики.     Также, статьей 28</w:t>
      </w:r>
    </w:p>
    <w:p>
      <w:r>
        <w:rPr>
          <w:rFonts w:ascii="Arial" w:cs="Arial" w:eastAsia="Arial" w:hAnsi="Arial"/>
          <w:sz w:val="24"/>
          <w:szCs w:val="24"/>
        </w:rPr>
        <w:t xml:space="preserve">Закона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 нормативных пра-вовых актах Кыргызской Республики" установлено, что проекты нормативныхправовых актов, непосредственно затрагивающих интересы граждан и юриди-ческих  лиц,  а также проекты нормативных правовых актов,  регулирующихпредпринимательскую деятельность,  в обязательном порядке  должны  бытьопубликованы  для  общественного  обсуждения  посредством размещения наофициальном сайте правотворческого органа.  По решению правотворческогооргана, в случае отсутствия у правотворческого органа официального сай-та, а также в случаях, предусмотренных законом, опубликование норматив-ных правовых актов производится в средствах массовой информации. Посту-пившие предложения и замечания  подлежат  рассмотрению  правотворческиморганом при доработке проектов.     Одновременно отмечаем,  что в соответствии со  статьей  10</w:t>
      </w:r>
    </w:p>
    <w:p>
      <w:r>
        <w:rPr>
          <w:rFonts w:ascii="Arial" w:cs="Arial" w:eastAsia="Arial" w:hAnsi="Arial"/>
          <w:sz w:val="24"/>
          <w:szCs w:val="24"/>
        </w:rPr>
        <w:t xml:space="preserve">Закона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 Республики  "О государственном языке Кыргызской Республики"официальные документы, нормативные правовые акты и другие решения орга-нов государственной власти и местного самоуправления принимаются на го-сударственном языке,  в случаях, предусмотренных законодательством Кыр-гызской  Республики,  переводятся  на официальный язык и публикуются надвух языках.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rrw0u15wqzinqc3il9w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dalil.kg/document/59086</w:t>
      </w:r>
    </w:hyperlink>
  </w:p>
  <w:p>
    <w:pPr>
      <w:spacing w:after="0" w:before="40"/>
      <w:jc w:val="center"/>
    </w:pPr>
    <w:hyperlink w:history="1" r:id="rIdfy8z4vfdzurdhhtbggt5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ur1h3g47-sds7zx44vny" Type="http://schemas.openxmlformats.org/officeDocument/2006/relationships/hyperlink" Target="https://dalil.kg/document/1591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rrw0u15wqzinqc3il9wh" Type="http://schemas.openxmlformats.org/officeDocument/2006/relationships/hyperlink" Target="https://dalil.kg/document/59086" TargetMode="External"/><Relationship Id="rIdfy8z4vfdzurdhhtbggt5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2026-09-25T11:00:47.939Z</dcterms:created>
  <dcterms:modified xsi:type="dcterms:W3CDTF">2026-09-25T11:00:47.939Z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