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w:t>
      </w:r>
      <w:hyperlink w:history="1" r:id="rIdqg1s1jj1cjkqmk1ykqdq2">
        <w:r>
          <w:rPr>
            <w:rFonts w:ascii="Arial" w:cs="Arial" w:eastAsia="Arial" w:hAnsi="Arial"/>
            <w:color w:val="1D4ED8"/>
            <w:sz w:val="24"/>
            <w:szCs w:val="24"/>
            <w:u w:val="single"/>
          </w:rPr>
          <w:t xml:space="preserve">8 июля 2004 года № 508</w:t>
        </w:r>
      </w:hyperlink>
      <w:r>
        <w:rPr>
          <w:rFonts w:ascii="Arial" w:cs="Arial" w:eastAsia="Arial" w:hAnsi="Arial"/>
          <w:sz w:val="24"/>
          <w:szCs w:val="24"/>
        </w:rPr>
        <w:t xml:space="preserve">                                   Утверждено                     </w:t>
      </w:r>
      <w:hyperlink w:history="1" r:id="rIdhxplex8aigxuzyxc6f8z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октября 1998 года N 707                                ПОЛОЖЕНИЕ             о государственной службе занятости населения                         Кыргызской Республики       (В редакции постановления № 261 от </w:t>
      </w:r>
      <w:hyperlink w:history="1" r:id="rIdwwjbxp4rubgbva4jbephp">
        <w:r>
          <w:rPr>
            <w:rFonts w:ascii="Arial" w:cs="Arial" w:eastAsia="Arial" w:hAnsi="Arial"/>
            <w:color w:val="1D4ED8"/>
            <w:sz w:val="24"/>
            <w:szCs w:val="24"/>
            <w:u w:val="single"/>
          </w:rPr>
          <w:t xml:space="preserve">10 мая 2000 года</w:t>
        </w:r>
      </w:hyperlink>
      <w:r>
        <w:rPr>
          <w:rFonts w:ascii="Arial" w:cs="Arial" w:eastAsia="Arial" w:hAnsi="Arial"/>
          <w:sz w:val="24"/>
          <w:szCs w:val="24"/>
        </w:rPr>
        <w:t xml:space="preserve">,               </w:t>
      </w:r>
      <w:hyperlink w:history="1" r:id="rId9nhgljupt1kjudic7dppm">
        <w:r>
          <w:rPr>
            <w:rFonts w:ascii="Arial" w:cs="Arial" w:eastAsia="Arial" w:hAnsi="Arial"/>
            <w:color w:val="1D4ED8"/>
            <w:sz w:val="24"/>
            <w:szCs w:val="24"/>
            <w:u w:val="single"/>
          </w:rPr>
          <w:t xml:space="preserve">29 апреля 2002 года N 257</w:t>
        </w:r>
      </w:hyperlink>
      <w:r>
        <w:rPr>
          <w:rFonts w:ascii="Arial" w:cs="Arial" w:eastAsia="Arial" w:hAnsi="Arial"/>
          <w:sz w:val="24"/>
          <w:szCs w:val="24"/>
        </w:rPr>
        <w:t xml:space="preserve">,                </w:t>
      </w:r>
      <w:r>
        <w:rPr>
          <w:rFonts w:ascii="Arial" w:cs="Arial" w:eastAsia="Arial" w:hAnsi="Arial"/>
          <w:sz w:val="24"/>
          <w:szCs w:val="24"/>
        </w:rPr>
        <w:t xml:space="preserve">27 ноября 2003 года №736</w:t>
      </w:r>
      <w:r>
        <w:rPr>
          <w:rFonts w:ascii="Arial" w:cs="Arial" w:eastAsia="Arial" w:hAnsi="Arial"/>
          <w:sz w:val="24"/>
          <w:szCs w:val="24"/>
        </w:rPr>
        <w:t xml:space="preserve">)    21. Для осуществления мероприятий по реализации политики занятостигосударственный   департамент   занятости   населения    разрабатываетсмету расходов  на  год  с разбивкой по кварталам и статьям затрат и сучетом  рекомендаций  Трехстороннего совета по регулированию  вопросовсодействия   занятости  населения  представляет  в   Социальный   фондКыргызской Республики на утверждение.    22.  На   основании  утвержденной сметы расходов Фонда  содействиязанятости  Социальный фонд Кыргызской Республики по  мере  поступлениястраховых   взносов  перечисляет  средства  на  счет  Государственногодепартамента занятости населения для последующего перечисления  их   вуправления занятости населения областей и города Бишкек.    23.  Органы      занятости  населения  областей  и  города  Бишкекраспределяют  поступившие  денежные  средства  районным  и   городскиморганам государственной службы занятости населения.    24. Государственный департамент занятости населения имеет право наоткрытие  в  банке  счета специальных средств  для  образования  фондаразвития   и  материального поощрения органов  государственной  службызанятости населения.    25. Контроль  за  целевым  использованием средств Фонда содействиязанятости и обучения органами занятости населения областей и    городаБишкек    осуществляется   Государственным   департаментом   занятостинаселения,  в  районных  и  городских органах  государственной  службызанятости населения органами     занятости населения областей и городаБишкек.    26. Государственный департамент занятости  населения  отчитываетсяоб    исполнении    бюджета    перед  Социальным   фондом   КыргызскойРеспублики,   Министерством  труда  и  социальной  защиты   КыргызскойРеспублики,  предоставляя сведения и отчеты Трехстороннему совету.    27. Государственный департамент занятости  населения  контролируетцелевое    использование   средств  фонда  содействия   занятости    иобучения  по финансированию мероприятий активной и пассивной политики, аудиторские проверки правильности использования   средств   производитотдел внутреннего аудита Департамента.    28.  Структура,   численность   и  фонд  оплаты  труда  работниковгосударственной  службы  занятости населения  утверждаются   коллегиейМинистерства  труда  и  социальной  защиты  Кыргызской  Республики  посогласованию с Социальным фондом Кыргызской Республики и рекомендациямТрехстороннего совета.    29.   Государственная  служба  занятости  населения   осуществляетбухгалтерский    учет    и    отчетность   по   установленным   формамгосударственной отчетности.    30. Органы  государственной  службы занятости населения (районные,городские  управления  занятости)  в вопросах  финансово-хозяйственнойдеятельности   отчитываются  перед  органами      занятости  населенияобластей  и города Бишкек.  Органы   занятости  населения  областей  игорода  Бишкек   -  отчитываются  перед Государственным  департаментомзанятости населения.    31. Государственный департамент занятости населения  рефинансируетсредства  фонда  содействия занятости и обучения органам     занятости  населения областей    и  города   Бишкек  по  направлениям  (активная,пассивная политика и административные расходы).(В редакции постановления Правительства КР </w:t>
      </w:r>
      <w:hyperlink w:history="1" r:id="rIdt4hb0qvju47dgctfgq5bx">
        <w:r>
          <w:rPr>
            <w:rFonts w:ascii="Arial" w:cs="Arial" w:eastAsia="Arial" w:hAnsi="Arial"/>
            <w:color w:val="1D4ED8"/>
            <w:sz w:val="24"/>
            <w:szCs w:val="24"/>
            <w:u w:val="single"/>
          </w:rPr>
          <w:t xml:space="preserve">от 27 ноября 2003 года №736</w:t>
        </w:r>
      </w:hyperlink>
      <w:r>
        <w:rPr>
          <w:rFonts w:ascii="Arial" w:cs="Arial" w:eastAsia="Arial" w:hAnsi="Arial"/>
          <w:sz w:val="24"/>
          <w:szCs w:val="24"/>
        </w:rPr>
        <w:t xml:space="preserve">)    32.  Органы  занятости  населения  областей    и   города   Бишкекиспользуют средства строго по целевому назначению.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3eescxxvq4j_ky_zoi3z">
      <w:r>
        <w:rPr>
          <w:rFonts w:ascii="Arial" w:cs="Arial" w:eastAsia="Arial" w:hAnsi="Arial"/>
          <w:color w:val="132D3F"/>
          <w:sz w:val="16"/>
          <w:szCs w:val="16"/>
          <w:u w:val="single"/>
        </w:rPr>
        <w:t xml:space="preserve">dalil.kg/document/5957</w:t>
      </w:r>
    </w:hyperlink>
  </w:p>
  <w:p>
    <w:pPr>
      <w:spacing w:after="0" w:before="40"/>
      <w:jc w:val="center"/>
    </w:pPr>
    <w:hyperlink w:history="1" r:id="rIdf-n3d-k-voupj4xjuf-n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g1s1jj1cjkqmk1ykqdq2" Type="http://schemas.openxmlformats.org/officeDocument/2006/relationships/hyperlink" Target="https://dalil.kg/document/55554" TargetMode="External"/><Relationship Id="rIdhxplex8aigxuzyxc6f8zh" Type="http://schemas.openxmlformats.org/officeDocument/2006/relationships/hyperlink" Target="https://dalil.kg/document/5956" TargetMode="External"/><Relationship Id="rIdwwjbxp4rubgbva4jbephp" Type="http://schemas.openxmlformats.org/officeDocument/2006/relationships/hyperlink" Target="https://dalil.kg/document/7297" TargetMode="External"/><Relationship Id="rId9nhgljupt1kjudic7dppm" Type="http://schemas.openxmlformats.org/officeDocument/2006/relationships/hyperlink" Target="https://dalil.kg/document/53402" TargetMode="External"/><Relationship Id="rIdt4hb0qvju47dgctfgq5bx" Type="http://schemas.openxmlformats.org/officeDocument/2006/relationships/hyperlink" Target="https://dalil.kg/document/54879"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3eescxxvq4j_ky_zoi3z" Type="http://schemas.openxmlformats.org/officeDocument/2006/relationships/hyperlink" Target="https://dalil.kg/document/5957" TargetMode="External"/><Relationship Id="rIdf-n3d-k-voupj4xjuf-n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2026-09-28T04:44:24.385Z</dcterms:created>
  <dcterms:modified xsi:type="dcterms:W3CDTF">2026-09-28T04:44:24.385Z</dcterms:modified>
</cp:coreProperties>
</file>

<file path=docProps/custom.xml><?xml version="1.0" encoding="utf-8"?>
<Properties xmlns="http://schemas.openxmlformats.org/officeDocument/2006/custom-properties" xmlns:vt="http://schemas.openxmlformats.org/officeDocument/2006/docPropsVTypes"/>
</file>